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9FD" w:rsidRDefault="009A19FD" w:rsidP="009A19FD">
      <w:pPr>
        <w:rPr>
          <w:sz w:val="36"/>
          <w:szCs w:val="36"/>
        </w:rPr>
      </w:pPr>
      <w:r w:rsidRPr="00FB7225">
        <w:rPr>
          <w:rFonts w:hint="eastAsia"/>
          <w:sz w:val="36"/>
          <w:szCs w:val="36"/>
        </w:rPr>
        <w:t>关于辖区涉林企业民商事案件的成因、趋势以及对策</w:t>
      </w:r>
    </w:p>
    <w:p w:rsidR="009A19FD" w:rsidRDefault="009A19FD" w:rsidP="009A19FD">
      <w:pPr>
        <w:jc w:val="center"/>
        <w:rPr>
          <w:sz w:val="28"/>
          <w:szCs w:val="28"/>
        </w:rPr>
      </w:pPr>
      <w:r w:rsidRPr="00FB7225">
        <w:rPr>
          <w:rFonts w:hint="eastAsia"/>
          <w:sz w:val="28"/>
          <w:szCs w:val="28"/>
        </w:rPr>
        <w:t>——江源林区基层法院</w:t>
      </w:r>
      <w:r>
        <w:rPr>
          <w:rFonts w:hint="eastAsia"/>
          <w:sz w:val="28"/>
          <w:szCs w:val="28"/>
        </w:rPr>
        <w:t>近</w:t>
      </w:r>
      <w:r>
        <w:rPr>
          <w:rFonts w:hint="eastAsia"/>
          <w:sz w:val="28"/>
          <w:szCs w:val="28"/>
        </w:rPr>
        <w:t>5</w:t>
      </w:r>
      <w:r>
        <w:rPr>
          <w:rFonts w:hint="eastAsia"/>
          <w:sz w:val="28"/>
          <w:szCs w:val="28"/>
        </w:rPr>
        <w:t>年</w:t>
      </w:r>
      <w:r w:rsidRPr="00FB7225">
        <w:rPr>
          <w:rFonts w:hint="eastAsia"/>
          <w:sz w:val="28"/>
          <w:szCs w:val="28"/>
        </w:rPr>
        <w:t>审理</w:t>
      </w:r>
      <w:r>
        <w:rPr>
          <w:rFonts w:hint="eastAsia"/>
          <w:sz w:val="28"/>
          <w:szCs w:val="28"/>
        </w:rPr>
        <w:t>涉企</w:t>
      </w:r>
      <w:r w:rsidRPr="00FB7225">
        <w:rPr>
          <w:rFonts w:hint="eastAsia"/>
          <w:sz w:val="28"/>
          <w:szCs w:val="28"/>
        </w:rPr>
        <w:t>民商事案件情况分析</w:t>
      </w:r>
    </w:p>
    <w:p w:rsidR="009A19FD" w:rsidRPr="00FB7225" w:rsidRDefault="009A19FD" w:rsidP="009A19FD">
      <w:pPr>
        <w:spacing w:line="200" w:lineRule="exact"/>
        <w:jc w:val="center"/>
        <w:rPr>
          <w:sz w:val="28"/>
          <w:szCs w:val="28"/>
        </w:rPr>
      </w:pPr>
    </w:p>
    <w:p w:rsidR="009A19FD" w:rsidRPr="002E257C" w:rsidRDefault="009A19FD" w:rsidP="009A19FD">
      <w:pPr>
        <w:rPr>
          <w:rFonts w:ascii="仿宋" w:eastAsia="仿宋" w:hAnsi="仿宋"/>
          <w:sz w:val="32"/>
          <w:szCs w:val="32"/>
        </w:rPr>
      </w:pPr>
      <w:r>
        <w:rPr>
          <w:rFonts w:ascii="仿宋" w:eastAsia="仿宋" w:hAnsi="仿宋" w:hint="eastAsia"/>
          <w:sz w:val="32"/>
          <w:szCs w:val="32"/>
        </w:rPr>
        <w:t xml:space="preserve">    </w:t>
      </w:r>
      <w:r w:rsidRPr="002E257C">
        <w:rPr>
          <w:rFonts w:ascii="仿宋" w:eastAsia="仿宋" w:hAnsi="仿宋" w:cs="宋体" w:hint="eastAsia"/>
          <w:color w:val="242424"/>
          <w:kern w:val="0"/>
          <w:sz w:val="32"/>
          <w:szCs w:val="32"/>
        </w:rPr>
        <w:t>民商事案件的案发情况在一定程度上反映国家经济运行的健康状况，反映经济社会关系和谐与否。特别是买卖合同、借款合同、建设工程合同、劳动争议、保险合同、证券合同等各类商事案件和家事纠纷，能够直接折射经济社会关系的活跃与波动态势。</w:t>
      </w:r>
      <w:r>
        <w:rPr>
          <w:rFonts w:ascii="仿宋" w:eastAsia="仿宋" w:hAnsi="仿宋" w:cs="宋体" w:hint="eastAsia"/>
          <w:color w:val="242424"/>
          <w:kern w:val="0"/>
          <w:sz w:val="32"/>
          <w:szCs w:val="32"/>
        </w:rPr>
        <w:t>本文通过对辖区近五年来审理的涉企民商案件的司法数据进行统计分析，以期林区法院更好服务于林区社会的和谐与稳定。</w:t>
      </w:r>
    </w:p>
    <w:p w:rsidR="009A19FD" w:rsidRPr="002E257C" w:rsidRDefault="009A19FD" w:rsidP="009A19FD">
      <w:pPr>
        <w:ind w:firstLineChars="200" w:firstLine="640"/>
        <w:rPr>
          <w:rFonts w:ascii="仿宋" w:eastAsia="仿宋" w:hAnsi="仿宋"/>
          <w:sz w:val="32"/>
          <w:szCs w:val="32"/>
        </w:rPr>
      </w:pPr>
      <w:r w:rsidRPr="002E257C">
        <w:rPr>
          <w:rFonts w:ascii="仿宋" w:eastAsia="仿宋" w:hAnsi="仿宋" w:hint="eastAsia"/>
          <w:sz w:val="32"/>
          <w:szCs w:val="32"/>
        </w:rPr>
        <w:t>一、涉林企业纠纷案件的基本情况</w:t>
      </w:r>
    </w:p>
    <w:p w:rsidR="009A19FD" w:rsidRPr="002E257C" w:rsidRDefault="009A19FD" w:rsidP="009A19FD">
      <w:pPr>
        <w:rPr>
          <w:rFonts w:ascii="仿宋" w:eastAsia="仿宋" w:hAnsi="仿宋" w:cs="宋体"/>
          <w:color w:val="333333"/>
          <w:kern w:val="0"/>
          <w:sz w:val="32"/>
          <w:szCs w:val="32"/>
          <w:shd w:val="clear" w:color="auto" w:fill="FFFFFF"/>
        </w:rPr>
      </w:pPr>
      <w:r w:rsidRPr="002E257C">
        <w:rPr>
          <w:rFonts w:ascii="仿宋" w:eastAsia="仿宋" w:hAnsi="仿宋" w:cs="宋体" w:hint="eastAsia"/>
          <w:color w:val="333333"/>
          <w:kern w:val="0"/>
          <w:sz w:val="32"/>
          <w:szCs w:val="32"/>
          <w:shd w:val="clear" w:color="auto" w:fill="FFFFFF"/>
        </w:rPr>
        <w:t xml:space="preserve">　</w:t>
      </w:r>
      <w:r>
        <w:rPr>
          <w:rFonts w:ascii="仿宋" w:eastAsia="仿宋" w:hAnsi="仿宋" w:cs="宋体" w:hint="eastAsia"/>
          <w:color w:val="333333"/>
          <w:kern w:val="0"/>
          <w:sz w:val="32"/>
          <w:szCs w:val="32"/>
          <w:shd w:val="clear" w:color="auto" w:fill="FFFFFF"/>
        </w:rPr>
        <w:t xml:space="preserve">  </w:t>
      </w:r>
      <w:r w:rsidRPr="002E257C">
        <w:rPr>
          <w:rFonts w:ascii="仿宋" w:eastAsia="仿宋" w:hAnsi="仿宋" w:cs="宋体" w:hint="eastAsia"/>
          <w:color w:val="333333"/>
          <w:kern w:val="0"/>
          <w:sz w:val="32"/>
          <w:szCs w:val="32"/>
          <w:shd w:val="clear" w:color="auto" w:fill="FFFFFF"/>
        </w:rPr>
        <w:t>据不完全统计，近五年（2012-2016）来，我院共审理辖区各类一审民商纠纷案件262件，其中涉企纠纷案件50件，占比为19.1%。及标的总额</w:t>
      </w:r>
      <w:r>
        <w:rPr>
          <w:rFonts w:ascii="仿宋" w:eastAsia="仿宋" w:hAnsi="仿宋" w:cs="宋体" w:hint="eastAsia"/>
          <w:color w:val="333333"/>
          <w:kern w:val="0"/>
          <w:sz w:val="32"/>
          <w:szCs w:val="32"/>
          <w:shd w:val="clear" w:color="auto" w:fill="FFFFFF"/>
        </w:rPr>
        <w:t>达1000</w:t>
      </w:r>
      <w:r w:rsidRPr="002E257C">
        <w:rPr>
          <w:rFonts w:ascii="仿宋" w:eastAsia="仿宋" w:hAnsi="仿宋" w:cs="宋体" w:hint="eastAsia"/>
          <w:color w:val="333333"/>
          <w:kern w:val="0"/>
          <w:sz w:val="32"/>
          <w:szCs w:val="32"/>
          <w:shd w:val="clear" w:color="auto" w:fill="FFFFFF"/>
        </w:rPr>
        <w:t>万</w:t>
      </w:r>
      <w:r>
        <w:rPr>
          <w:rFonts w:ascii="仿宋" w:eastAsia="仿宋" w:hAnsi="仿宋" w:cs="宋体" w:hint="eastAsia"/>
          <w:color w:val="333333"/>
          <w:kern w:val="0"/>
          <w:sz w:val="32"/>
          <w:szCs w:val="32"/>
          <w:shd w:val="clear" w:color="auto" w:fill="FFFFFF"/>
        </w:rPr>
        <w:t>余</w:t>
      </w:r>
      <w:r w:rsidRPr="002E257C">
        <w:rPr>
          <w:rFonts w:ascii="仿宋" w:eastAsia="仿宋" w:hAnsi="仿宋" w:cs="宋体" w:hint="eastAsia"/>
          <w:color w:val="333333"/>
          <w:kern w:val="0"/>
          <w:sz w:val="32"/>
          <w:szCs w:val="32"/>
          <w:shd w:val="clear" w:color="auto" w:fill="FFFFFF"/>
        </w:rPr>
        <w:t>元。</w:t>
      </w:r>
    </w:p>
    <w:p w:rsidR="009A19FD" w:rsidRDefault="009A19FD" w:rsidP="009A19FD">
      <w:pPr>
        <w:jc w:val="center"/>
        <w:rPr>
          <w:rFonts w:ascii="仿宋" w:eastAsia="仿宋" w:hAnsi="仿宋"/>
          <w:sz w:val="32"/>
          <w:szCs w:val="32"/>
        </w:rPr>
      </w:pPr>
      <w:r>
        <w:rPr>
          <w:rFonts w:ascii="仿宋" w:eastAsia="仿宋" w:hAnsi="仿宋" w:hint="eastAsia"/>
          <w:sz w:val="32"/>
          <w:szCs w:val="32"/>
        </w:rPr>
        <w:t>图表一</w:t>
      </w:r>
      <w:r>
        <w:rPr>
          <w:rFonts w:ascii="仿宋" w:eastAsia="仿宋" w:hAnsi="仿宋"/>
          <w:sz w:val="32"/>
          <w:szCs w:val="32"/>
        </w:rPr>
        <w:t xml:space="preserve">  </w:t>
      </w:r>
      <w:r w:rsidRPr="002E257C">
        <w:rPr>
          <w:rFonts w:ascii="仿宋" w:eastAsia="仿宋" w:hAnsi="仿宋" w:hint="eastAsia"/>
          <w:sz w:val="32"/>
          <w:szCs w:val="32"/>
        </w:rPr>
        <w:t>2012-2016民商案件及涉企民商案件收案情况图</w:t>
      </w:r>
    </w:p>
    <w:p w:rsidR="00AC6977" w:rsidRPr="00AC6977" w:rsidRDefault="00AC6977" w:rsidP="009A19FD">
      <w:pPr>
        <w:jc w:val="center"/>
        <w:rPr>
          <w:rFonts w:ascii="仿宋" w:eastAsia="仿宋" w:hAnsi="仿宋"/>
          <w:sz w:val="32"/>
          <w:szCs w:val="32"/>
        </w:rPr>
      </w:pPr>
      <w:r w:rsidRPr="00AC6977">
        <w:rPr>
          <w:rFonts w:ascii="仿宋" w:eastAsia="仿宋" w:hAnsi="仿宋"/>
          <w:noProof/>
          <w:sz w:val="32"/>
          <w:szCs w:val="32"/>
        </w:rPr>
        <w:drawing>
          <wp:inline distT="0" distB="0" distL="0" distR="0">
            <wp:extent cx="5274310" cy="3076575"/>
            <wp:effectExtent l="19050" t="0" r="21590" b="0"/>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A19FD" w:rsidRPr="002E257C" w:rsidRDefault="009A19FD" w:rsidP="009A19FD">
      <w:pPr>
        <w:jc w:val="center"/>
        <w:rPr>
          <w:rFonts w:ascii="仿宋" w:eastAsia="仿宋" w:hAnsi="仿宋"/>
          <w:sz w:val="32"/>
          <w:szCs w:val="32"/>
        </w:rPr>
      </w:pPr>
      <w:r>
        <w:rPr>
          <w:rFonts w:ascii="仿宋" w:eastAsia="仿宋" w:hAnsi="仿宋" w:hint="eastAsia"/>
          <w:noProof/>
          <w:sz w:val="32"/>
          <w:szCs w:val="32"/>
        </w:rPr>
        <w:lastRenderedPageBreak/>
        <w:drawing>
          <wp:inline distT="0" distB="0" distL="0" distR="0">
            <wp:extent cx="5274310" cy="3076575"/>
            <wp:effectExtent l="19050" t="0" r="2159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A19FD" w:rsidRPr="002E257C" w:rsidRDefault="009A19FD" w:rsidP="009A19FD">
      <w:pPr>
        <w:jc w:val="center"/>
        <w:rPr>
          <w:rFonts w:ascii="仿宋" w:eastAsia="仿宋" w:hAnsi="仿宋"/>
          <w:sz w:val="32"/>
          <w:szCs w:val="32"/>
        </w:rPr>
      </w:pPr>
      <w:r w:rsidRPr="002E257C">
        <w:rPr>
          <w:rFonts w:ascii="仿宋" w:eastAsia="仿宋" w:hAnsi="仿宋" w:hint="eastAsia"/>
          <w:sz w:val="32"/>
          <w:szCs w:val="32"/>
        </w:rPr>
        <w:t>图表二</w:t>
      </w:r>
      <w:r>
        <w:rPr>
          <w:rFonts w:ascii="仿宋" w:eastAsia="仿宋" w:hAnsi="仿宋"/>
          <w:sz w:val="32"/>
          <w:szCs w:val="32"/>
        </w:rPr>
        <w:t xml:space="preserve">  </w:t>
      </w:r>
      <w:r w:rsidRPr="002E257C">
        <w:rPr>
          <w:rFonts w:ascii="仿宋" w:eastAsia="仿宋" w:hAnsi="仿宋" w:hint="eastAsia"/>
          <w:sz w:val="32"/>
          <w:szCs w:val="32"/>
        </w:rPr>
        <w:t>民商案件类型构成图</w:t>
      </w:r>
    </w:p>
    <w:p w:rsidR="009A19FD" w:rsidRPr="002E257C" w:rsidRDefault="009A19FD" w:rsidP="009A19FD">
      <w:pPr>
        <w:ind w:firstLineChars="200" w:firstLine="640"/>
        <w:jc w:val="left"/>
        <w:rPr>
          <w:rFonts w:ascii="仿宋" w:eastAsia="仿宋" w:hAnsi="仿宋"/>
          <w:sz w:val="32"/>
          <w:szCs w:val="32"/>
        </w:rPr>
      </w:pPr>
      <w:r w:rsidRPr="002E257C">
        <w:rPr>
          <w:rFonts w:ascii="仿宋" w:eastAsia="仿宋" w:hAnsi="仿宋" w:hint="eastAsia"/>
          <w:sz w:val="32"/>
          <w:szCs w:val="32"/>
        </w:rPr>
        <w:t>2012年</w:t>
      </w:r>
      <w:r w:rsidRPr="002E257C">
        <w:rPr>
          <w:rFonts w:ascii="仿宋" w:eastAsia="仿宋" w:hAnsi="仿宋"/>
          <w:sz w:val="32"/>
          <w:szCs w:val="32"/>
        </w:rPr>
        <w:t>—</w:t>
      </w:r>
      <w:r w:rsidRPr="002E257C">
        <w:rPr>
          <w:rFonts w:ascii="仿宋" w:eastAsia="仿宋" w:hAnsi="仿宋" w:hint="eastAsia"/>
          <w:sz w:val="32"/>
          <w:szCs w:val="32"/>
        </w:rPr>
        <w:t>2016年江源林区基层法院涉林涉企案件情况表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7"/>
        <w:gridCol w:w="1443"/>
        <w:gridCol w:w="1276"/>
        <w:gridCol w:w="1134"/>
        <w:gridCol w:w="1016"/>
        <w:gridCol w:w="1218"/>
        <w:gridCol w:w="1218"/>
      </w:tblGrid>
      <w:tr w:rsidR="009A19FD" w:rsidRPr="00DB3A7D" w:rsidTr="00777226">
        <w:tc>
          <w:tcPr>
            <w:tcW w:w="1217" w:type="dxa"/>
            <w:tcBorders>
              <w:tl2br w:val="single" w:sz="4" w:space="0" w:color="auto"/>
            </w:tcBorders>
          </w:tcPr>
          <w:p w:rsidR="009A19FD" w:rsidRPr="00DB3A7D" w:rsidRDefault="009A19FD" w:rsidP="00777226">
            <w:pPr>
              <w:tabs>
                <w:tab w:val="left" w:pos="610"/>
              </w:tabs>
              <w:spacing w:line="360" w:lineRule="exact"/>
              <w:jc w:val="right"/>
              <w:rPr>
                <w:rFonts w:ascii="仿宋" w:eastAsia="仿宋" w:hAnsi="仿宋"/>
                <w:sz w:val="28"/>
                <w:szCs w:val="32"/>
              </w:rPr>
            </w:pPr>
            <w:r w:rsidRPr="00DB3A7D">
              <w:rPr>
                <w:rFonts w:ascii="仿宋" w:eastAsia="仿宋" w:hAnsi="仿宋" w:hint="eastAsia"/>
                <w:sz w:val="28"/>
                <w:szCs w:val="32"/>
              </w:rPr>
              <w:t>案由</w:t>
            </w:r>
          </w:p>
          <w:p w:rsidR="009A19FD" w:rsidRPr="00DB3A7D" w:rsidRDefault="009A19FD" w:rsidP="00777226">
            <w:pPr>
              <w:tabs>
                <w:tab w:val="left" w:pos="610"/>
              </w:tabs>
              <w:spacing w:line="360" w:lineRule="exact"/>
              <w:jc w:val="right"/>
              <w:rPr>
                <w:rFonts w:ascii="仿宋" w:eastAsia="仿宋" w:hAnsi="仿宋"/>
                <w:sz w:val="28"/>
                <w:szCs w:val="32"/>
              </w:rPr>
            </w:pPr>
          </w:p>
          <w:p w:rsidR="009A19FD" w:rsidRPr="00DB3A7D" w:rsidRDefault="009A19FD" w:rsidP="00777226">
            <w:pPr>
              <w:spacing w:line="360" w:lineRule="exact"/>
              <w:jc w:val="left"/>
              <w:rPr>
                <w:rFonts w:ascii="仿宋" w:eastAsia="仿宋" w:hAnsi="仿宋"/>
                <w:sz w:val="28"/>
                <w:szCs w:val="32"/>
              </w:rPr>
            </w:pPr>
          </w:p>
          <w:p w:rsidR="009A19FD" w:rsidRPr="00DB3A7D" w:rsidRDefault="009A19FD" w:rsidP="00777226">
            <w:pPr>
              <w:spacing w:line="360" w:lineRule="exact"/>
              <w:jc w:val="left"/>
              <w:rPr>
                <w:rFonts w:ascii="仿宋" w:eastAsia="仿宋" w:hAnsi="仿宋"/>
                <w:sz w:val="28"/>
                <w:szCs w:val="32"/>
              </w:rPr>
            </w:pPr>
            <w:r w:rsidRPr="00DB3A7D">
              <w:rPr>
                <w:rFonts w:ascii="仿宋" w:eastAsia="仿宋" w:hAnsi="仿宋" w:hint="eastAsia"/>
                <w:sz w:val="28"/>
                <w:szCs w:val="32"/>
              </w:rPr>
              <w:t>年份</w:t>
            </w:r>
          </w:p>
        </w:tc>
        <w:tc>
          <w:tcPr>
            <w:tcW w:w="1443" w:type="dxa"/>
          </w:tcPr>
          <w:p w:rsidR="009A19FD" w:rsidRPr="00DB3A7D" w:rsidRDefault="009A19FD" w:rsidP="00777226">
            <w:pPr>
              <w:spacing w:line="360" w:lineRule="exact"/>
              <w:jc w:val="left"/>
              <w:rPr>
                <w:rFonts w:ascii="仿宋" w:eastAsia="仿宋" w:hAnsi="仿宋"/>
                <w:sz w:val="28"/>
                <w:szCs w:val="32"/>
              </w:rPr>
            </w:pPr>
            <w:r w:rsidRPr="00DB3A7D">
              <w:rPr>
                <w:rFonts w:ascii="仿宋" w:eastAsia="仿宋" w:hAnsi="仿宋" w:hint="eastAsia"/>
                <w:sz w:val="28"/>
                <w:szCs w:val="32"/>
              </w:rPr>
              <w:t>合同纠纷</w:t>
            </w:r>
          </w:p>
        </w:tc>
        <w:tc>
          <w:tcPr>
            <w:tcW w:w="1276" w:type="dxa"/>
          </w:tcPr>
          <w:p w:rsidR="009A19FD" w:rsidRPr="00DB3A7D" w:rsidRDefault="009A19FD" w:rsidP="00777226">
            <w:pPr>
              <w:spacing w:line="360" w:lineRule="exact"/>
              <w:rPr>
                <w:rFonts w:ascii="仿宋" w:eastAsia="仿宋" w:hAnsi="仿宋"/>
                <w:sz w:val="28"/>
                <w:szCs w:val="32"/>
              </w:rPr>
            </w:pPr>
            <w:r w:rsidRPr="00DB3A7D">
              <w:rPr>
                <w:rFonts w:ascii="仿宋" w:eastAsia="仿宋" w:hAnsi="仿宋" w:hint="eastAsia"/>
                <w:sz w:val="28"/>
                <w:szCs w:val="32"/>
              </w:rPr>
              <w:t>侵权责任纠纷</w:t>
            </w:r>
          </w:p>
        </w:tc>
        <w:tc>
          <w:tcPr>
            <w:tcW w:w="1134" w:type="dxa"/>
          </w:tcPr>
          <w:p w:rsidR="009A19FD" w:rsidRPr="00DB3A7D" w:rsidRDefault="009A19FD" w:rsidP="00777226">
            <w:pPr>
              <w:spacing w:line="360" w:lineRule="exact"/>
              <w:jc w:val="left"/>
              <w:rPr>
                <w:rFonts w:ascii="仿宋" w:eastAsia="仿宋" w:hAnsi="仿宋"/>
                <w:sz w:val="28"/>
                <w:szCs w:val="32"/>
              </w:rPr>
            </w:pPr>
            <w:r w:rsidRPr="00DB3A7D">
              <w:rPr>
                <w:rFonts w:ascii="仿宋" w:eastAsia="仿宋" w:hAnsi="仿宋" w:hint="eastAsia"/>
                <w:sz w:val="28"/>
                <w:szCs w:val="32"/>
              </w:rPr>
              <w:t>劳动争议纠纷</w:t>
            </w:r>
          </w:p>
        </w:tc>
        <w:tc>
          <w:tcPr>
            <w:tcW w:w="1016" w:type="dxa"/>
          </w:tcPr>
          <w:p w:rsidR="009A19FD" w:rsidRPr="00DB3A7D" w:rsidRDefault="009A19FD" w:rsidP="00777226">
            <w:pPr>
              <w:spacing w:line="360" w:lineRule="exact"/>
              <w:jc w:val="left"/>
              <w:rPr>
                <w:rFonts w:ascii="仿宋" w:eastAsia="仿宋" w:hAnsi="仿宋"/>
                <w:sz w:val="28"/>
                <w:szCs w:val="32"/>
              </w:rPr>
            </w:pPr>
            <w:r w:rsidRPr="00DB3A7D">
              <w:rPr>
                <w:rFonts w:ascii="仿宋" w:eastAsia="仿宋" w:hAnsi="仿宋" w:hint="eastAsia"/>
                <w:sz w:val="28"/>
                <w:szCs w:val="32"/>
              </w:rPr>
              <w:t>物权纠纷</w:t>
            </w:r>
          </w:p>
        </w:tc>
        <w:tc>
          <w:tcPr>
            <w:tcW w:w="1218" w:type="dxa"/>
          </w:tcPr>
          <w:p w:rsidR="009A19FD" w:rsidRPr="00DB3A7D" w:rsidRDefault="009A19FD" w:rsidP="00777226">
            <w:pPr>
              <w:spacing w:line="360" w:lineRule="exact"/>
              <w:rPr>
                <w:rFonts w:ascii="仿宋" w:eastAsia="仿宋" w:hAnsi="仿宋"/>
                <w:sz w:val="28"/>
                <w:szCs w:val="32"/>
              </w:rPr>
            </w:pPr>
            <w:r w:rsidRPr="00DB3A7D">
              <w:rPr>
                <w:rFonts w:ascii="仿宋" w:eastAsia="仿宋" w:hAnsi="仿宋" w:hint="eastAsia"/>
                <w:sz w:val="28"/>
                <w:szCs w:val="32"/>
              </w:rPr>
              <w:t>年收案数（件）</w:t>
            </w:r>
          </w:p>
        </w:tc>
        <w:tc>
          <w:tcPr>
            <w:tcW w:w="1218" w:type="dxa"/>
          </w:tcPr>
          <w:p w:rsidR="009A19FD" w:rsidRPr="00DB3A7D" w:rsidRDefault="009A19FD" w:rsidP="00777226">
            <w:pPr>
              <w:spacing w:line="360" w:lineRule="exact"/>
              <w:jc w:val="left"/>
              <w:rPr>
                <w:rFonts w:ascii="仿宋" w:eastAsia="仿宋" w:hAnsi="仿宋"/>
                <w:sz w:val="28"/>
                <w:szCs w:val="32"/>
              </w:rPr>
            </w:pPr>
            <w:r w:rsidRPr="00DB3A7D">
              <w:rPr>
                <w:rFonts w:ascii="仿宋" w:eastAsia="仿宋" w:hAnsi="仿宋" w:hint="eastAsia"/>
                <w:sz w:val="28"/>
                <w:szCs w:val="32"/>
              </w:rPr>
              <w:t>占比情况</w:t>
            </w:r>
          </w:p>
        </w:tc>
      </w:tr>
      <w:tr w:rsidR="009A19FD" w:rsidRPr="002E257C" w:rsidTr="00777226">
        <w:tc>
          <w:tcPr>
            <w:tcW w:w="1217"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2012</w:t>
            </w:r>
          </w:p>
        </w:tc>
        <w:tc>
          <w:tcPr>
            <w:tcW w:w="1443"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3</w:t>
            </w:r>
          </w:p>
        </w:tc>
        <w:tc>
          <w:tcPr>
            <w:tcW w:w="1276"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3</w:t>
            </w:r>
          </w:p>
        </w:tc>
        <w:tc>
          <w:tcPr>
            <w:tcW w:w="1134"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3</w:t>
            </w:r>
          </w:p>
        </w:tc>
        <w:tc>
          <w:tcPr>
            <w:tcW w:w="1016"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1</w:t>
            </w:r>
          </w:p>
        </w:tc>
        <w:tc>
          <w:tcPr>
            <w:tcW w:w="1218"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38</w:t>
            </w:r>
          </w:p>
        </w:tc>
        <w:tc>
          <w:tcPr>
            <w:tcW w:w="1218"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26.3%</w:t>
            </w:r>
          </w:p>
        </w:tc>
      </w:tr>
      <w:tr w:rsidR="009A19FD" w:rsidRPr="002E257C" w:rsidTr="00777226">
        <w:tc>
          <w:tcPr>
            <w:tcW w:w="1217"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2013</w:t>
            </w:r>
          </w:p>
        </w:tc>
        <w:tc>
          <w:tcPr>
            <w:tcW w:w="1443"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2</w:t>
            </w:r>
          </w:p>
        </w:tc>
        <w:tc>
          <w:tcPr>
            <w:tcW w:w="1276"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1</w:t>
            </w:r>
          </w:p>
        </w:tc>
        <w:tc>
          <w:tcPr>
            <w:tcW w:w="1134" w:type="dxa"/>
            <w:tcBorders>
              <w:tl2br w:val="single" w:sz="4" w:space="0" w:color="auto"/>
              <w:tr2bl w:val="single" w:sz="4" w:space="0" w:color="auto"/>
            </w:tcBorders>
          </w:tcPr>
          <w:p w:rsidR="009A19FD" w:rsidRPr="002E257C" w:rsidRDefault="009A19FD" w:rsidP="00777226">
            <w:pPr>
              <w:jc w:val="left"/>
              <w:rPr>
                <w:rFonts w:ascii="仿宋" w:eastAsia="仿宋" w:hAnsi="仿宋"/>
                <w:sz w:val="32"/>
                <w:szCs w:val="32"/>
              </w:rPr>
            </w:pPr>
          </w:p>
        </w:tc>
        <w:tc>
          <w:tcPr>
            <w:tcW w:w="1016"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1</w:t>
            </w:r>
          </w:p>
        </w:tc>
        <w:tc>
          <w:tcPr>
            <w:tcW w:w="1218"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26</w:t>
            </w:r>
          </w:p>
        </w:tc>
        <w:tc>
          <w:tcPr>
            <w:tcW w:w="1218"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15.3%</w:t>
            </w:r>
          </w:p>
        </w:tc>
      </w:tr>
      <w:tr w:rsidR="009A19FD" w:rsidRPr="002E257C" w:rsidTr="00777226">
        <w:tc>
          <w:tcPr>
            <w:tcW w:w="1217"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2014</w:t>
            </w:r>
          </w:p>
        </w:tc>
        <w:tc>
          <w:tcPr>
            <w:tcW w:w="1443"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2</w:t>
            </w:r>
          </w:p>
        </w:tc>
        <w:tc>
          <w:tcPr>
            <w:tcW w:w="1276"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2</w:t>
            </w:r>
          </w:p>
        </w:tc>
        <w:tc>
          <w:tcPr>
            <w:tcW w:w="1134"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1</w:t>
            </w:r>
          </w:p>
        </w:tc>
        <w:tc>
          <w:tcPr>
            <w:tcW w:w="1016"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5</w:t>
            </w:r>
          </w:p>
        </w:tc>
        <w:tc>
          <w:tcPr>
            <w:tcW w:w="1218"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43</w:t>
            </w:r>
          </w:p>
        </w:tc>
        <w:tc>
          <w:tcPr>
            <w:tcW w:w="1218"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23.2%</w:t>
            </w:r>
          </w:p>
        </w:tc>
      </w:tr>
      <w:tr w:rsidR="009A19FD" w:rsidRPr="002E257C" w:rsidTr="00777226">
        <w:tc>
          <w:tcPr>
            <w:tcW w:w="1217"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2015</w:t>
            </w:r>
          </w:p>
        </w:tc>
        <w:tc>
          <w:tcPr>
            <w:tcW w:w="1443"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9</w:t>
            </w:r>
          </w:p>
        </w:tc>
        <w:tc>
          <w:tcPr>
            <w:tcW w:w="1276"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4</w:t>
            </w:r>
          </w:p>
        </w:tc>
        <w:tc>
          <w:tcPr>
            <w:tcW w:w="1134"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4</w:t>
            </w:r>
          </w:p>
        </w:tc>
        <w:tc>
          <w:tcPr>
            <w:tcW w:w="1016"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1</w:t>
            </w:r>
          </w:p>
        </w:tc>
        <w:tc>
          <w:tcPr>
            <w:tcW w:w="1218"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80</w:t>
            </w:r>
          </w:p>
        </w:tc>
        <w:tc>
          <w:tcPr>
            <w:tcW w:w="1218"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22.5%</w:t>
            </w:r>
          </w:p>
        </w:tc>
      </w:tr>
      <w:tr w:rsidR="009A19FD" w:rsidRPr="002E257C" w:rsidTr="00777226">
        <w:tc>
          <w:tcPr>
            <w:tcW w:w="1217"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2016</w:t>
            </w:r>
          </w:p>
        </w:tc>
        <w:tc>
          <w:tcPr>
            <w:tcW w:w="1443"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4</w:t>
            </w:r>
          </w:p>
        </w:tc>
        <w:tc>
          <w:tcPr>
            <w:tcW w:w="1276"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1</w:t>
            </w:r>
          </w:p>
        </w:tc>
        <w:tc>
          <w:tcPr>
            <w:tcW w:w="1134"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3</w:t>
            </w:r>
          </w:p>
        </w:tc>
        <w:tc>
          <w:tcPr>
            <w:tcW w:w="1016" w:type="dxa"/>
            <w:tcBorders>
              <w:tl2br w:val="single" w:sz="4" w:space="0" w:color="auto"/>
              <w:tr2bl w:val="single" w:sz="4" w:space="0" w:color="auto"/>
            </w:tcBorders>
          </w:tcPr>
          <w:p w:rsidR="009A19FD" w:rsidRPr="002E257C" w:rsidRDefault="009A19FD" w:rsidP="00777226">
            <w:pPr>
              <w:jc w:val="left"/>
              <w:rPr>
                <w:rFonts w:ascii="仿宋" w:eastAsia="仿宋" w:hAnsi="仿宋"/>
                <w:sz w:val="32"/>
                <w:szCs w:val="32"/>
              </w:rPr>
            </w:pPr>
          </w:p>
        </w:tc>
        <w:tc>
          <w:tcPr>
            <w:tcW w:w="1218"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75</w:t>
            </w:r>
          </w:p>
        </w:tc>
        <w:tc>
          <w:tcPr>
            <w:tcW w:w="1218"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10.6%</w:t>
            </w:r>
          </w:p>
        </w:tc>
      </w:tr>
      <w:tr w:rsidR="009A19FD" w:rsidRPr="002E257C" w:rsidTr="00777226">
        <w:tc>
          <w:tcPr>
            <w:tcW w:w="1217"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合计</w:t>
            </w:r>
          </w:p>
        </w:tc>
        <w:tc>
          <w:tcPr>
            <w:tcW w:w="1443"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20</w:t>
            </w:r>
          </w:p>
        </w:tc>
        <w:tc>
          <w:tcPr>
            <w:tcW w:w="1276"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11</w:t>
            </w:r>
          </w:p>
        </w:tc>
        <w:tc>
          <w:tcPr>
            <w:tcW w:w="1134"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11</w:t>
            </w:r>
          </w:p>
        </w:tc>
        <w:tc>
          <w:tcPr>
            <w:tcW w:w="1016"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8</w:t>
            </w:r>
          </w:p>
        </w:tc>
        <w:tc>
          <w:tcPr>
            <w:tcW w:w="1218"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262</w:t>
            </w:r>
          </w:p>
        </w:tc>
        <w:tc>
          <w:tcPr>
            <w:tcW w:w="1218" w:type="dxa"/>
          </w:tcPr>
          <w:p w:rsidR="009A19FD" w:rsidRPr="002E257C" w:rsidRDefault="009A19FD" w:rsidP="00777226">
            <w:pPr>
              <w:jc w:val="left"/>
              <w:rPr>
                <w:rFonts w:ascii="仿宋" w:eastAsia="仿宋" w:hAnsi="仿宋"/>
                <w:sz w:val="32"/>
                <w:szCs w:val="32"/>
              </w:rPr>
            </w:pPr>
            <w:r w:rsidRPr="002E257C">
              <w:rPr>
                <w:rFonts w:ascii="仿宋" w:eastAsia="仿宋" w:hAnsi="仿宋" w:hint="eastAsia"/>
                <w:sz w:val="32"/>
                <w:szCs w:val="32"/>
              </w:rPr>
              <w:t>19.1%</w:t>
            </w:r>
          </w:p>
        </w:tc>
      </w:tr>
    </w:tbl>
    <w:p w:rsidR="009A19FD" w:rsidRDefault="009A19FD" w:rsidP="009A19FD">
      <w:pPr>
        <w:jc w:val="center"/>
        <w:rPr>
          <w:rFonts w:ascii="仿宋" w:eastAsia="仿宋" w:hAnsi="仿宋"/>
          <w:sz w:val="32"/>
          <w:szCs w:val="32"/>
        </w:rPr>
      </w:pPr>
      <w:r w:rsidRPr="00DA7CD2">
        <w:rPr>
          <w:rFonts w:ascii="仿宋" w:eastAsia="仿宋" w:hAnsi="仿宋" w:hint="eastAsia"/>
          <w:sz w:val="32"/>
          <w:szCs w:val="32"/>
        </w:rPr>
        <w:t>图表三</w:t>
      </w:r>
      <w:r>
        <w:rPr>
          <w:rFonts w:ascii="仿宋" w:eastAsia="仿宋" w:hAnsi="仿宋" w:hint="eastAsia"/>
          <w:sz w:val="32"/>
          <w:szCs w:val="32"/>
        </w:rPr>
        <w:t xml:space="preserve">  </w:t>
      </w:r>
      <w:r w:rsidRPr="00DA7CD2">
        <w:rPr>
          <w:rFonts w:ascii="仿宋" w:eastAsia="仿宋" w:hAnsi="仿宋" w:hint="eastAsia"/>
          <w:sz w:val="32"/>
          <w:szCs w:val="32"/>
        </w:rPr>
        <w:t>涉企民商案件</w:t>
      </w:r>
    </w:p>
    <w:p w:rsidR="009A19FD" w:rsidRDefault="009A19FD" w:rsidP="009A19FD">
      <w:pPr>
        <w:spacing w:line="200" w:lineRule="exact"/>
        <w:jc w:val="center"/>
        <w:rPr>
          <w:rFonts w:ascii="仿宋" w:eastAsia="仿宋" w:hAnsi="仿宋"/>
          <w:sz w:val="32"/>
          <w:szCs w:val="32"/>
        </w:rPr>
      </w:pPr>
    </w:p>
    <w:p w:rsidR="009A19FD" w:rsidRPr="00DA7CD2" w:rsidRDefault="009A19FD" w:rsidP="009A19FD">
      <w:pPr>
        <w:ind w:firstLineChars="200" w:firstLine="640"/>
        <w:jc w:val="left"/>
        <w:rPr>
          <w:rFonts w:ascii="仿宋" w:eastAsia="仿宋" w:hAnsi="仿宋"/>
          <w:sz w:val="32"/>
          <w:szCs w:val="32"/>
        </w:rPr>
      </w:pPr>
      <w:r w:rsidRPr="00DA7CD2">
        <w:rPr>
          <w:rFonts w:ascii="仿宋" w:eastAsia="仿宋" w:hAnsi="仿宋" w:hint="eastAsia"/>
          <w:sz w:val="32"/>
          <w:szCs w:val="32"/>
        </w:rPr>
        <w:t>江源林区基层法院辖区内的两家国有</w:t>
      </w:r>
      <w:r>
        <w:rPr>
          <w:rFonts w:ascii="仿宋" w:eastAsia="仿宋" w:hAnsi="仿宋" w:hint="eastAsia"/>
          <w:sz w:val="32"/>
          <w:szCs w:val="32"/>
        </w:rPr>
        <w:t>林业局</w:t>
      </w:r>
      <w:r w:rsidRPr="00DA7CD2">
        <w:rPr>
          <w:rFonts w:ascii="仿宋" w:eastAsia="仿宋" w:hAnsi="仿宋" w:hint="eastAsia"/>
          <w:sz w:val="32"/>
          <w:szCs w:val="32"/>
        </w:rPr>
        <w:t>及吉林森</w:t>
      </w:r>
      <w:r w:rsidRPr="00DA7CD2">
        <w:rPr>
          <w:rFonts w:ascii="仿宋" w:eastAsia="仿宋" w:hAnsi="仿宋" w:hint="eastAsia"/>
          <w:sz w:val="32"/>
          <w:szCs w:val="32"/>
        </w:rPr>
        <w:lastRenderedPageBreak/>
        <w:t>工集团的分公司木加企业</w:t>
      </w:r>
      <w:r>
        <w:rPr>
          <w:rFonts w:ascii="仿宋" w:eastAsia="仿宋" w:hAnsi="仿宋" w:hint="eastAsia"/>
          <w:sz w:val="32"/>
          <w:szCs w:val="32"/>
        </w:rPr>
        <w:t>，以及数家中小微民营企业。国有森工企业</w:t>
      </w:r>
      <w:r w:rsidRPr="00DA7CD2">
        <w:rPr>
          <w:rFonts w:ascii="仿宋" w:eastAsia="仿宋" w:hAnsi="仿宋" w:hint="eastAsia"/>
          <w:sz w:val="32"/>
          <w:szCs w:val="32"/>
        </w:rPr>
        <w:t>目前受政策调整，正处于转型阶段。从2012-2016年涉企案件类型看，一般的合同纠纷、侵权</w:t>
      </w:r>
      <w:r>
        <w:rPr>
          <w:rFonts w:ascii="仿宋" w:eastAsia="仿宋" w:hAnsi="仿宋" w:hint="eastAsia"/>
          <w:sz w:val="32"/>
          <w:szCs w:val="32"/>
        </w:rPr>
        <w:t>责任纠纷</w:t>
      </w:r>
      <w:r w:rsidRPr="00DA7CD2">
        <w:rPr>
          <w:rFonts w:ascii="仿宋" w:eastAsia="仿宋" w:hAnsi="仿宋" w:hint="eastAsia"/>
          <w:sz w:val="32"/>
          <w:szCs w:val="32"/>
        </w:rPr>
        <w:t>、劳动争议</w:t>
      </w:r>
      <w:r>
        <w:rPr>
          <w:rFonts w:ascii="仿宋" w:eastAsia="仿宋" w:hAnsi="仿宋" w:hint="eastAsia"/>
          <w:sz w:val="32"/>
          <w:szCs w:val="32"/>
        </w:rPr>
        <w:t>纠纷</w:t>
      </w:r>
      <w:r w:rsidRPr="00DA7CD2">
        <w:rPr>
          <w:rFonts w:ascii="仿宋" w:eastAsia="仿宋" w:hAnsi="仿宋" w:hint="eastAsia"/>
          <w:sz w:val="32"/>
          <w:szCs w:val="32"/>
        </w:rPr>
        <w:t>三类案件始终</w:t>
      </w:r>
      <w:r>
        <w:rPr>
          <w:rFonts w:ascii="仿宋" w:eastAsia="仿宋" w:hAnsi="仿宋" w:hint="eastAsia"/>
          <w:sz w:val="32"/>
          <w:szCs w:val="32"/>
        </w:rPr>
        <w:t>占主导地位</w:t>
      </w:r>
      <w:r w:rsidRPr="00DA7CD2">
        <w:rPr>
          <w:rFonts w:ascii="仿宋" w:eastAsia="仿宋" w:hAnsi="仿宋" w:hint="eastAsia"/>
          <w:sz w:val="32"/>
          <w:szCs w:val="32"/>
        </w:rPr>
        <w:t>。</w:t>
      </w:r>
      <w:r>
        <w:rPr>
          <w:rFonts w:ascii="仿宋" w:eastAsia="仿宋" w:hAnsi="仿宋" w:hint="eastAsia"/>
          <w:sz w:val="32"/>
          <w:szCs w:val="32"/>
        </w:rPr>
        <w:t>案件类型及种类比较单一</w:t>
      </w:r>
      <w:r w:rsidRPr="00DA7CD2">
        <w:rPr>
          <w:rFonts w:ascii="仿宋" w:eastAsia="仿宋" w:hAnsi="仿宋" w:hint="eastAsia"/>
          <w:sz w:val="32"/>
          <w:szCs w:val="32"/>
        </w:rPr>
        <w:t>。</w:t>
      </w:r>
    </w:p>
    <w:p w:rsidR="009A19FD" w:rsidRPr="002E257C" w:rsidRDefault="009A19FD" w:rsidP="009A19FD">
      <w:pPr>
        <w:ind w:firstLineChars="200" w:firstLine="640"/>
        <w:rPr>
          <w:rFonts w:ascii="仿宋" w:eastAsia="仿宋" w:hAnsi="仿宋" w:cs="宋体"/>
          <w:color w:val="333333"/>
          <w:kern w:val="0"/>
          <w:sz w:val="32"/>
          <w:szCs w:val="32"/>
          <w:shd w:val="clear" w:color="auto" w:fill="FFFFFF"/>
        </w:rPr>
      </w:pPr>
      <w:r w:rsidRPr="002E257C">
        <w:rPr>
          <w:rFonts w:ascii="仿宋" w:eastAsia="仿宋" w:hAnsi="仿宋" w:hint="eastAsia"/>
          <w:sz w:val="32"/>
          <w:szCs w:val="32"/>
        </w:rPr>
        <w:t>从纠纷的性质</w:t>
      </w:r>
      <w:r w:rsidRPr="002E257C">
        <w:rPr>
          <w:rFonts w:ascii="仿宋" w:eastAsia="仿宋" w:hAnsi="仿宋" w:cs="宋体" w:hint="eastAsia"/>
          <w:color w:val="333333"/>
          <w:kern w:val="0"/>
          <w:sz w:val="32"/>
          <w:szCs w:val="32"/>
          <w:shd w:val="clear" w:color="auto" w:fill="FFFFFF"/>
        </w:rPr>
        <w:t>分析，主要涵盖以下几种类型：</w:t>
      </w:r>
    </w:p>
    <w:p w:rsidR="009A19FD" w:rsidRPr="002E257C" w:rsidRDefault="009A19FD" w:rsidP="00704389">
      <w:pPr>
        <w:ind w:firstLineChars="200" w:firstLine="640"/>
        <w:jc w:val="left"/>
        <w:rPr>
          <w:rFonts w:ascii="仿宋" w:eastAsia="仿宋" w:hAnsi="仿宋"/>
          <w:sz w:val="32"/>
          <w:szCs w:val="32"/>
        </w:rPr>
      </w:pPr>
      <w:r w:rsidRPr="002E257C">
        <w:rPr>
          <w:rFonts w:ascii="仿宋" w:eastAsia="仿宋" w:hAnsi="仿宋" w:hint="eastAsia"/>
          <w:sz w:val="32"/>
          <w:szCs w:val="32"/>
        </w:rPr>
        <w:t>1.物权类纠纷，共涉及物权保护排除妨碍纠纷3件、财产损害赔偿纠纷5件；</w:t>
      </w:r>
      <w:r w:rsidR="00704389">
        <w:rPr>
          <w:rFonts w:ascii="仿宋" w:eastAsia="仿宋" w:hAnsi="仿宋"/>
          <w:noProof/>
          <w:sz w:val="32"/>
          <w:szCs w:val="32"/>
        </w:rPr>
        <w:drawing>
          <wp:inline distT="0" distB="0" distL="0" distR="0">
            <wp:extent cx="5274310" cy="3076575"/>
            <wp:effectExtent l="19050" t="0" r="2159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19FD" w:rsidRDefault="009A19FD" w:rsidP="009A19FD">
      <w:pPr>
        <w:ind w:firstLineChars="200" w:firstLine="640"/>
        <w:rPr>
          <w:rFonts w:ascii="仿宋" w:eastAsia="仿宋" w:hAnsi="仿宋"/>
          <w:sz w:val="32"/>
          <w:szCs w:val="32"/>
        </w:rPr>
      </w:pPr>
      <w:r w:rsidRPr="002E257C">
        <w:rPr>
          <w:rFonts w:ascii="仿宋" w:eastAsia="仿宋" w:hAnsi="仿宋" w:hint="eastAsia"/>
          <w:sz w:val="32"/>
          <w:szCs w:val="32"/>
        </w:rPr>
        <w:t>2.合同类纠纷，共涉及各类合同纠纷20件，其中借用合同1件，建设合同纠纷1件，买卖合同纠纷3件，林业承包合同6件，租赁合同纠纷3件，债务转移纠纷1件，供用热力合同纠纷3件，不当得利纠纷1</w:t>
      </w:r>
      <w:r>
        <w:rPr>
          <w:rFonts w:ascii="仿宋" w:eastAsia="仿宋" w:hAnsi="仿宋" w:hint="eastAsia"/>
          <w:sz w:val="32"/>
          <w:szCs w:val="32"/>
        </w:rPr>
        <w:t>件</w:t>
      </w:r>
      <w:r w:rsidRPr="002E257C">
        <w:rPr>
          <w:rFonts w:ascii="仿宋" w:eastAsia="仿宋" w:hAnsi="仿宋" w:hint="eastAsia"/>
          <w:sz w:val="32"/>
          <w:szCs w:val="32"/>
        </w:rPr>
        <w:t>；</w:t>
      </w:r>
    </w:p>
    <w:p w:rsidR="00704389" w:rsidRPr="002E257C" w:rsidRDefault="00704389" w:rsidP="009A19FD">
      <w:pPr>
        <w:ind w:firstLineChars="200" w:firstLine="640"/>
        <w:rPr>
          <w:rFonts w:ascii="仿宋" w:eastAsia="仿宋" w:hAnsi="仿宋"/>
          <w:sz w:val="32"/>
          <w:szCs w:val="32"/>
        </w:rPr>
      </w:pPr>
      <w:r>
        <w:rPr>
          <w:rFonts w:ascii="仿宋" w:eastAsia="仿宋" w:hAnsi="仿宋"/>
          <w:noProof/>
          <w:sz w:val="32"/>
          <w:szCs w:val="32"/>
        </w:rPr>
        <w:lastRenderedPageBreak/>
        <w:drawing>
          <wp:inline distT="0" distB="0" distL="0" distR="0">
            <wp:extent cx="5274310" cy="3076575"/>
            <wp:effectExtent l="19050" t="0" r="2159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4389" w:rsidRDefault="009A19FD" w:rsidP="001D6D6A">
      <w:pPr>
        <w:ind w:firstLineChars="200" w:firstLine="640"/>
        <w:rPr>
          <w:rFonts w:ascii="仿宋" w:eastAsia="仿宋" w:hAnsi="仿宋"/>
          <w:sz w:val="32"/>
          <w:szCs w:val="32"/>
        </w:rPr>
      </w:pPr>
      <w:r w:rsidRPr="002E257C">
        <w:rPr>
          <w:rFonts w:ascii="仿宋" w:eastAsia="仿宋" w:hAnsi="仿宋" w:hint="eastAsia"/>
          <w:sz w:val="32"/>
          <w:szCs w:val="32"/>
        </w:rPr>
        <w:t>3.侵权责任纠纷，共包括一般侵权责任纠纷6件，特殊侵权责任纠纷5件。其中特殊侵权责任纠纷中包括医疗损害责任纠纷为3件，物件损害责任纠纷2件。</w:t>
      </w:r>
    </w:p>
    <w:p w:rsidR="001D6D6A" w:rsidRPr="002E257C" w:rsidRDefault="001D6D6A" w:rsidP="001D6D6A">
      <w:pPr>
        <w:ind w:firstLineChars="200" w:firstLine="640"/>
        <w:rPr>
          <w:rFonts w:ascii="仿宋" w:eastAsia="仿宋" w:hAnsi="仿宋"/>
          <w:sz w:val="32"/>
          <w:szCs w:val="32"/>
        </w:rPr>
      </w:pPr>
      <w:r w:rsidRPr="001D6D6A">
        <w:rPr>
          <w:rFonts w:ascii="仿宋" w:eastAsia="仿宋" w:hAnsi="仿宋"/>
          <w:noProof/>
          <w:sz w:val="32"/>
          <w:szCs w:val="32"/>
        </w:rPr>
        <w:drawing>
          <wp:inline distT="0" distB="0" distL="0" distR="0">
            <wp:extent cx="5274310" cy="1865596"/>
            <wp:effectExtent l="19050" t="0" r="21590" b="1304"/>
            <wp:docPr id="17"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37BE" w:rsidRPr="00D40A3F" w:rsidRDefault="009A19FD" w:rsidP="00D40A3F">
      <w:pPr>
        <w:ind w:firstLineChars="200" w:firstLine="640"/>
        <w:rPr>
          <w:rFonts w:ascii="仿宋" w:eastAsia="仿宋" w:hAnsi="仿宋"/>
          <w:sz w:val="32"/>
          <w:szCs w:val="32"/>
        </w:rPr>
      </w:pPr>
      <w:r w:rsidRPr="00D40A3F">
        <w:rPr>
          <w:rFonts w:ascii="仿宋" w:eastAsia="仿宋" w:hAnsi="仿宋" w:hint="eastAsia"/>
          <w:sz w:val="32"/>
          <w:szCs w:val="32"/>
        </w:rPr>
        <w:t>4.劳动争议纠纷。共12件，</w:t>
      </w:r>
      <w:r w:rsidR="007816A5" w:rsidRPr="00D40A3F">
        <w:rPr>
          <w:rFonts w:ascii="仿宋" w:eastAsia="仿宋" w:hAnsi="仿宋" w:hint="eastAsia"/>
          <w:sz w:val="32"/>
          <w:szCs w:val="32"/>
        </w:rPr>
        <w:t>根据案件纠纷的性质，适用三级案由</w:t>
      </w:r>
      <w:r w:rsidR="002B26F9" w:rsidRPr="00D40A3F">
        <w:rPr>
          <w:rFonts w:ascii="仿宋" w:eastAsia="仿宋" w:hAnsi="仿宋" w:hint="eastAsia"/>
          <w:sz w:val="32"/>
          <w:szCs w:val="32"/>
        </w:rPr>
        <w:t>审理5件，其中</w:t>
      </w:r>
      <w:r w:rsidRPr="00D40A3F">
        <w:rPr>
          <w:rFonts w:ascii="仿宋" w:eastAsia="仿宋" w:hAnsi="仿宋" w:hint="eastAsia"/>
          <w:sz w:val="32"/>
          <w:szCs w:val="32"/>
        </w:rPr>
        <w:t>社会保险纠纷1件，</w:t>
      </w:r>
      <w:r w:rsidR="007816A5" w:rsidRPr="00D40A3F">
        <w:rPr>
          <w:rFonts w:ascii="仿宋" w:eastAsia="仿宋" w:hAnsi="仿宋" w:hint="eastAsia"/>
          <w:sz w:val="32"/>
          <w:szCs w:val="32"/>
        </w:rPr>
        <w:t>劳动合同纠纷4件</w:t>
      </w:r>
      <w:r w:rsidR="002B26F9" w:rsidRPr="00D40A3F">
        <w:rPr>
          <w:rFonts w:ascii="仿宋" w:eastAsia="仿宋" w:hAnsi="仿宋" w:hint="eastAsia"/>
          <w:sz w:val="32"/>
          <w:szCs w:val="32"/>
        </w:rPr>
        <w:t>；</w:t>
      </w:r>
      <w:r w:rsidR="007816A5" w:rsidRPr="00D40A3F">
        <w:rPr>
          <w:rFonts w:ascii="仿宋" w:eastAsia="仿宋" w:hAnsi="仿宋" w:hint="eastAsia"/>
          <w:sz w:val="32"/>
          <w:szCs w:val="32"/>
        </w:rPr>
        <w:t>适用四级案由审理</w:t>
      </w:r>
      <w:r w:rsidR="00E72793" w:rsidRPr="00D40A3F">
        <w:rPr>
          <w:rFonts w:ascii="仿宋" w:eastAsia="仿宋" w:hAnsi="仿宋" w:hint="eastAsia"/>
          <w:sz w:val="32"/>
          <w:szCs w:val="32"/>
        </w:rPr>
        <w:t>6</w:t>
      </w:r>
      <w:r w:rsidR="002B26F9" w:rsidRPr="00D40A3F">
        <w:rPr>
          <w:rFonts w:ascii="仿宋" w:eastAsia="仿宋" w:hAnsi="仿宋" w:hint="eastAsia"/>
          <w:sz w:val="32"/>
          <w:szCs w:val="32"/>
        </w:rPr>
        <w:t>件，其中工伤保险待遇纠纷2件，</w:t>
      </w:r>
      <w:r w:rsidRPr="00D40A3F">
        <w:rPr>
          <w:rFonts w:ascii="仿宋" w:eastAsia="仿宋" w:hAnsi="仿宋" w:hint="eastAsia"/>
          <w:sz w:val="32"/>
          <w:szCs w:val="32"/>
        </w:rPr>
        <w:t>追索劳动报酬纠纷1件，确认劳动关系纠纷3件</w:t>
      </w:r>
      <w:r w:rsidR="002B26F9" w:rsidRPr="00D40A3F">
        <w:rPr>
          <w:rFonts w:ascii="仿宋" w:eastAsia="仿宋" w:hAnsi="仿宋" w:hint="eastAsia"/>
          <w:sz w:val="32"/>
          <w:szCs w:val="32"/>
        </w:rPr>
        <w:t>；</w:t>
      </w:r>
      <w:r w:rsidR="007816A5" w:rsidRPr="00D40A3F">
        <w:rPr>
          <w:rFonts w:ascii="仿宋" w:eastAsia="仿宋" w:hAnsi="仿宋" w:hint="eastAsia"/>
          <w:sz w:val="32"/>
          <w:szCs w:val="32"/>
        </w:rPr>
        <w:t>适用二级案由</w:t>
      </w:r>
      <w:r w:rsidR="002B26F9" w:rsidRPr="00D40A3F">
        <w:rPr>
          <w:rFonts w:ascii="仿宋" w:eastAsia="仿宋" w:hAnsi="仿宋" w:hint="eastAsia"/>
          <w:sz w:val="32"/>
          <w:szCs w:val="32"/>
        </w:rPr>
        <w:t>审理1件为</w:t>
      </w:r>
      <w:r w:rsidRPr="00D40A3F">
        <w:rPr>
          <w:rFonts w:ascii="仿宋" w:eastAsia="仿宋" w:hAnsi="仿宋" w:hint="eastAsia"/>
          <w:sz w:val="32"/>
          <w:szCs w:val="32"/>
        </w:rPr>
        <w:t>劳动争议纠纷。</w:t>
      </w:r>
    </w:p>
    <w:p w:rsidR="001D6D6A" w:rsidRPr="00D40A3F" w:rsidRDefault="001D6D6A" w:rsidP="00D40A3F">
      <w:pPr>
        <w:ind w:firstLineChars="200" w:firstLine="640"/>
        <w:rPr>
          <w:rFonts w:ascii="仿宋" w:eastAsia="仿宋" w:hAnsi="仿宋"/>
          <w:sz w:val="32"/>
          <w:szCs w:val="32"/>
        </w:rPr>
      </w:pPr>
    </w:p>
    <w:p w:rsidR="002B26F9" w:rsidRPr="00D40A3F" w:rsidRDefault="006B12C4" w:rsidP="009A19FD">
      <w:pPr>
        <w:ind w:firstLineChars="200" w:firstLine="640"/>
        <w:rPr>
          <w:rFonts w:ascii="仿宋" w:eastAsia="仿宋" w:hAnsi="仿宋" w:cs="宋体"/>
          <w:color w:val="333333"/>
          <w:kern w:val="0"/>
          <w:sz w:val="32"/>
          <w:szCs w:val="32"/>
          <w:shd w:val="clear" w:color="auto" w:fill="FFFFFF"/>
        </w:rPr>
      </w:pPr>
      <w:r w:rsidRPr="00D40A3F">
        <w:rPr>
          <w:rFonts w:ascii="仿宋" w:eastAsia="仿宋" w:hAnsi="仿宋" w:cs="宋体"/>
          <w:noProof/>
          <w:color w:val="333333"/>
          <w:kern w:val="0"/>
          <w:sz w:val="32"/>
          <w:szCs w:val="32"/>
          <w:shd w:val="clear" w:color="auto" w:fill="FFFFFF"/>
        </w:rPr>
        <w:lastRenderedPageBreak/>
        <w:drawing>
          <wp:inline distT="0" distB="0" distL="0" distR="0">
            <wp:extent cx="5274310" cy="3076575"/>
            <wp:effectExtent l="19050" t="0" r="2159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26F9" w:rsidRPr="00D40A3F" w:rsidRDefault="002B26F9" w:rsidP="009A19FD">
      <w:pPr>
        <w:ind w:firstLineChars="200" w:firstLine="640"/>
        <w:rPr>
          <w:rFonts w:ascii="仿宋" w:eastAsia="仿宋" w:hAnsi="仿宋" w:cs="宋体"/>
          <w:color w:val="333333"/>
          <w:kern w:val="0"/>
          <w:sz w:val="32"/>
          <w:szCs w:val="32"/>
          <w:shd w:val="clear" w:color="auto" w:fill="FFFFFF"/>
        </w:rPr>
      </w:pPr>
    </w:p>
    <w:p w:rsidR="006B12C4" w:rsidRPr="00D40A3F" w:rsidRDefault="001D6D6A" w:rsidP="001D6D6A">
      <w:pPr>
        <w:ind w:firstLineChars="200" w:firstLine="640"/>
        <w:rPr>
          <w:rFonts w:ascii="仿宋" w:eastAsia="仿宋" w:hAnsi="仿宋" w:cs="宋体"/>
          <w:color w:val="333333"/>
          <w:kern w:val="0"/>
          <w:sz w:val="32"/>
          <w:szCs w:val="32"/>
          <w:shd w:val="clear" w:color="auto" w:fill="FFFFFF"/>
        </w:rPr>
      </w:pPr>
      <w:r w:rsidRPr="00D40A3F">
        <w:rPr>
          <w:rFonts w:ascii="仿宋" w:eastAsia="仿宋" w:hAnsi="仿宋" w:cs="宋体"/>
          <w:noProof/>
          <w:color w:val="333333"/>
          <w:kern w:val="0"/>
          <w:sz w:val="32"/>
          <w:szCs w:val="32"/>
          <w:shd w:val="clear" w:color="auto" w:fill="FFFFFF"/>
        </w:rPr>
        <w:drawing>
          <wp:inline distT="0" distB="0" distL="0" distR="0">
            <wp:extent cx="5274310" cy="3076575"/>
            <wp:effectExtent l="19050" t="0" r="2159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19FD" w:rsidRDefault="009A19FD" w:rsidP="009A19FD">
      <w:pPr>
        <w:ind w:firstLineChars="200" w:firstLine="640"/>
        <w:rPr>
          <w:rFonts w:ascii="仿宋" w:eastAsia="仿宋" w:hAnsi="仿宋" w:cs="宋体"/>
          <w:color w:val="333333"/>
          <w:kern w:val="0"/>
          <w:sz w:val="32"/>
          <w:szCs w:val="32"/>
          <w:shd w:val="clear" w:color="auto" w:fill="FFFFFF"/>
        </w:rPr>
      </w:pPr>
      <w:r>
        <w:rPr>
          <w:rFonts w:ascii="仿宋" w:eastAsia="仿宋" w:hAnsi="仿宋" w:cs="宋体" w:hint="eastAsia"/>
          <w:color w:val="333333"/>
          <w:kern w:val="0"/>
          <w:sz w:val="32"/>
          <w:szCs w:val="32"/>
          <w:shd w:val="clear" w:color="auto" w:fill="FFFFFF"/>
        </w:rPr>
        <w:t>二、</w:t>
      </w:r>
      <w:r w:rsidRPr="00A32550">
        <w:rPr>
          <w:rFonts w:ascii="仿宋" w:eastAsia="仿宋" w:hAnsi="仿宋" w:hint="eastAsia"/>
          <w:sz w:val="32"/>
          <w:szCs w:val="32"/>
        </w:rPr>
        <w:t>涉林企业</w:t>
      </w:r>
      <w:r w:rsidRPr="002E257C">
        <w:rPr>
          <w:rFonts w:ascii="仿宋" w:eastAsia="仿宋" w:hAnsi="仿宋" w:cs="宋体" w:hint="eastAsia"/>
          <w:color w:val="333333"/>
          <w:kern w:val="0"/>
          <w:sz w:val="32"/>
          <w:szCs w:val="32"/>
          <w:shd w:val="clear" w:color="auto" w:fill="FFFFFF"/>
        </w:rPr>
        <w:t>纠纷特点。</w:t>
      </w:r>
    </w:p>
    <w:p w:rsidR="009A19FD" w:rsidRPr="00C15614" w:rsidRDefault="009A19FD" w:rsidP="009A19FD">
      <w:pPr>
        <w:ind w:firstLineChars="200" w:firstLine="640"/>
        <w:rPr>
          <w:rFonts w:ascii="仿宋" w:eastAsia="仿宋" w:hAnsi="仿宋"/>
          <w:sz w:val="32"/>
          <w:szCs w:val="32"/>
        </w:rPr>
      </w:pPr>
      <w:r w:rsidRPr="002E257C">
        <w:rPr>
          <w:rFonts w:ascii="仿宋" w:eastAsia="仿宋" w:hAnsi="仿宋" w:cs="宋体" w:hint="eastAsia"/>
          <w:color w:val="333333"/>
          <w:kern w:val="0"/>
          <w:sz w:val="32"/>
          <w:szCs w:val="32"/>
          <w:shd w:val="clear" w:color="auto" w:fill="FFFFFF"/>
        </w:rPr>
        <w:t>从涉企纠纷案件的总体情况看，</w:t>
      </w:r>
      <w:r>
        <w:rPr>
          <w:rFonts w:ascii="仿宋" w:eastAsia="仿宋" w:hAnsi="仿宋" w:cs="宋体" w:hint="eastAsia"/>
          <w:color w:val="333333"/>
          <w:kern w:val="0"/>
          <w:sz w:val="32"/>
          <w:szCs w:val="32"/>
          <w:shd w:val="clear" w:color="auto" w:fill="FFFFFF"/>
        </w:rPr>
        <w:t>分别</w:t>
      </w:r>
      <w:r w:rsidRPr="002E257C">
        <w:rPr>
          <w:rFonts w:ascii="仿宋" w:eastAsia="仿宋" w:hAnsi="仿宋" w:cs="宋体" w:hint="eastAsia"/>
          <w:color w:val="333333"/>
          <w:kern w:val="0"/>
          <w:sz w:val="32"/>
          <w:szCs w:val="32"/>
          <w:shd w:val="clear" w:color="auto" w:fill="FFFFFF"/>
        </w:rPr>
        <w:t>有以下特点：</w:t>
      </w:r>
    </w:p>
    <w:p w:rsidR="009A19FD" w:rsidRPr="00A32550" w:rsidRDefault="009A19FD" w:rsidP="009A19FD">
      <w:pPr>
        <w:ind w:firstLineChars="200" w:firstLine="640"/>
        <w:rPr>
          <w:rFonts w:ascii="仿宋" w:eastAsia="仿宋" w:hAnsi="仿宋"/>
          <w:sz w:val="32"/>
          <w:szCs w:val="32"/>
        </w:rPr>
      </w:pPr>
      <w:r>
        <w:rPr>
          <w:rFonts w:ascii="仿宋" w:eastAsia="仿宋" w:hAnsi="仿宋" w:hint="eastAsia"/>
          <w:sz w:val="32"/>
          <w:szCs w:val="32"/>
        </w:rPr>
        <w:t>（一）</w:t>
      </w:r>
      <w:r w:rsidRPr="00A32550">
        <w:rPr>
          <w:rFonts w:ascii="仿宋" w:eastAsia="仿宋" w:hAnsi="仿宋" w:hint="eastAsia"/>
          <w:sz w:val="32"/>
          <w:szCs w:val="32"/>
        </w:rPr>
        <w:t>涉林企业合同类纠纷案件特点</w:t>
      </w:r>
    </w:p>
    <w:p w:rsidR="009A19FD" w:rsidRPr="00A32550" w:rsidRDefault="009A19FD" w:rsidP="009A19FD">
      <w:pPr>
        <w:ind w:firstLineChars="200" w:firstLine="640"/>
        <w:rPr>
          <w:rFonts w:ascii="仿宋" w:eastAsia="仿宋" w:hAnsi="仿宋"/>
          <w:sz w:val="32"/>
          <w:szCs w:val="32"/>
        </w:rPr>
      </w:pPr>
      <w:r>
        <w:rPr>
          <w:rFonts w:ascii="仿宋" w:eastAsia="仿宋" w:hAnsi="仿宋" w:hint="eastAsia"/>
          <w:sz w:val="32"/>
          <w:szCs w:val="32"/>
        </w:rPr>
        <w:t>1.</w:t>
      </w:r>
      <w:r w:rsidRPr="00A32550">
        <w:rPr>
          <w:rFonts w:ascii="仿宋" w:eastAsia="仿宋" w:hAnsi="仿宋" w:hint="eastAsia"/>
          <w:sz w:val="32"/>
          <w:szCs w:val="32"/>
        </w:rPr>
        <w:t>按诉讼主体身份划分</w:t>
      </w:r>
    </w:p>
    <w:p w:rsidR="009A19FD" w:rsidRDefault="009A19FD" w:rsidP="009A19FD">
      <w:pPr>
        <w:ind w:firstLineChars="200" w:firstLine="640"/>
        <w:rPr>
          <w:rFonts w:ascii="仿宋" w:eastAsia="仿宋" w:hAnsi="仿宋"/>
          <w:sz w:val="32"/>
          <w:szCs w:val="32"/>
        </w:rPr>
      </w:pPr>
      <w:r w:rsidRPr="00A32550">
        <w:rPr>
          <w:rFonts w:ascii="仿宋" w:eastAsia="仿宋" w:hAnsi="仿宋" w:hint="eastAsia"/>
          <w:sz w:val="32"/>
          <w:szCs w:val="32"/>
        </w:rPr>
        <w:t>2012-2016年</w:t>
      </w:r>
      <w:r>
        <w:rPr>
          <w:rFonts w:ascii="仿宋" w:eastAsia="仿宋" w:hAnsi="仿宋" w:hint="eastAsia"/>
          <w:sz w:val="32"/>
          <w:szCs w:val="32"/>
        </w:rPr>
        <w:t>，</w:t>
      </w:r>
      <w:r w:rsidRPr="00A32550">
        <w:rPr>
          <w:rFonts w:ascii="仿宋" w:eastAsia="仿宋" w:hAnsi="仿宋" w:hint="eastAsia"/>
          <w:sz w:val="32"/>
          <w:szCs w:val="32"/>
        </w:rPr>
        <w:t>江源林区基层法院共受理涉林企业合同</w:t>
      </w:r>
      <w:r w:rsidRPr="00A32550">
        <w:rPr>
          <w:rFonts w:ascii="仿宋" w:eastAsia="仿宋" w:hAnsi="仿宋" w:hint="eastAsia"/>
          <w:sz w:val="32"/>
          <w:szCs w:val="32"/>
        </w:rPr>
        <w:lastRenderedPageBreak/>
        <w:t>类纠纷案件20件，按参加诉讼主体身份划分，涉林企业作为原告参加合同类纠纷诉讼案件10件，占比为50%；10件，占比为50%。涉林企业作为原、被告参加诉讼的合同类纠纷案件各占涉林企业合同类纠纷案件的二分之一。</w:t>
      </w:r>
    </w:p>
    <w:p w:rsidR="007F37BE" w:rsidRDefault="007F37BE" w:rsidP="009A19FD">
      <w:pPr>
        <w:ind w:firstLineChars="200" w:firstLine="640"/>
        <w:rPr>
          <w:rFonts w:ascii="仿宋" w:eastAsia="仿宋" w:hAnsi="仿宋"/>
          <w:sz w:val="32"/>
          <w:szCs w:val="32"/>
        </w:rPr>
      </w:pPr>
    </w:p>
    <w:p w:rsidR="007F37BE" w:rsidRPr="00A32550" w:rsidRDefault="007F37BE" w:rsidP="000A7FF4">
      <w:pPr>
        <w:ind w:firstLineChars="200" w:firstLine="640"/>
        <w:rPr>
          <w:rFonts w:ascii="仿宋" w:eastAsia="仿宋" w:hAnsi="仿宋"/>
          <w:sz w:val="32"/>
          <w:szCs w:val="32"/>
        </w:rPr>
      </w:pPr>
      <w:r>
        <w:rPr>
          <w:rFonts w:ascii="仿宋" w:eastAsia="仿宋" w:hAnsi="仿宋" w:hint="eastAsia"/>
          <w:noProof/>
          <w:sz w:val="32"/>
          <w:szCs w:val="32"/>
        </w:rPr>
        <w:drawing>
          <wp:inline distT="0" distB="0" distL="0" distR="0">
            <wp:extent cx="5274310" cy="3076575"/>
            <wp:effectExtent l="19050" t="0" r="2159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19FD" w:rsidRPr="00A32550" w:rsidRDefault="009A19FD" w:rsidP="009A19FD">
      <w:pPr>
        <w:ind w:firstLineChars="200" w:firstLine="640"/>
        <w:rPr>
          <w:rFonts w:ascii="仿宋" w:eastAsia="仿宋" w:hAnsi="仿宋"/>
          <w:sz w:val="32"/>
          <w:szCs w:val="32"/>
        </w:rPr>
      </w:pPr>
      <w:r>
        <w:rPr>
          <w:rFonts w:ascii="仿宋" w:eastAsia="仿宋" w:hAnsi="仿宋" w:hint="eastAsia"/>
          <w:sz w:val="32"/>
          <w:szCs w:val="32"/>
        </w:rPr>
        <w:t>2.</w:t>
      </w:r>
      <w:r w:rsidRPr="00A32550">
        <w:rPr>
          <w:rFonts w:ascii="仿宋" w:eastAsia="仿宋" w:hAnsi="仿宋" w:hint="eastAsia"/>
          <w:sz w:val="32"/>
          <w:szCs w:val="32"/>
        </w:rPr>
        <w:t>按受理案件的法律关系的性质划分：</w:t>
      </w:r>
    </w:p>
    <w:p w:rsidR="007F37BE" w:rsidRDefault="009A19FD" w:rsidP="002F17A3">
      <w:pPr>
        <w:tabs>
          <w:tab w:val="left" w:pos="8280"/>
        </w:tabs>
        <w:ind w:firstLineChars="200" w:firstLine="640"/>
        <w:jc w:val="left"/>
        <w:rPr>
          <w:rFonts w:ascii="仿宋" w:eastAsia="仿宋" w:hAnsi="仿宋"/>
          <w:sz w:val="32"/>
          <w:szCs w:val="32"/>
        </w:rPr>
      </w:pPr>
      <w:r w:rsidRPr="00A32550">
        <w:rPr>
          <w:rFonts w:ascii="仿宋" w:eastAsia="仿宋" w:hAnsi="仿宋" w:hint="eastAsia"/>
          <w:sz w:val="32"/>
          <w:szCs w:val="32"/>
        </w:rPr>
        <w:t>以受理涉林承包合同纠纷案件居多，2012-2016年共受理涉林承包合同纠纷案件6件，占比为30%；占比是我院受理合同类纠纷案件的第一位；受理买卖合同纠纷案件4件、租赁合同纠纷案件4件，分别共同位居我院受理合同类纠纷案件的第二位，占比分别为20%；受理供用热力合同纠纷案件3件，占比为15%；排名位居我院受理合同类纠纷案件的第三位；另受理不当得利纠纷案件1件、债务转移合同纠纷案件1件、建筑工程合同纠纷案件1件， 分别并列位居我</w:t>
      </w:r>
      <w:r w:rsidRPr="00A32550">
        <w:rPr>
          <w:rFonts w:ascii="仿宋" w:eastAsia="仿宋" w:hAnsi="仿宋" w:hint="eastAsia"/>
          <w:sz w:val="32"/>
          <w:szCs w:val="32"/>
        </w:rPr>
        <w:lastRenderedPageBreak/>
        <w:t>院受理合同类纠纷案件的第四位，占比为5%。</w:t>
      </w:r>
    </w:p>
    <w:p w:rsidR="007F37BE" w:rsidRDefault="007F37BE" w:rsidP="007F37BE">
      <w:pPr>
        <w:tabs>
          <w:tab w:val="left" w:pos="8280"/>
        </w:tabs>
        <w:ind w:firstLineChars="200" w:firstLine="640"/>
        <w:jc w:val="center"/>
        <w:rPr>
          <w:rFonts w:ascii="仿宋" w:eastAsia="仿宋" w:hAnsi="仿宋"/>
          <w:sz w:val="32"/>
          <w:szCs w:val="32"/>
        </w:rPr>
      </w:pPr>
      <w:r w:rsidRPr="00A32550">
        <w:rPr>
          <w:rFonts w:ascii="仿宋" w:eastAsia="仿宋" w:hAnsi="仿宋" w:hint="eastAsia"/>
          <w:sz w:val="32"/>
          <w:szCs w:val="32"/>
        </w:rPr>
        <w:t>2012-2016</w:t>
      </w:r>
    </w:p>
    <w:p w:rsidR="007F37BE" w:rsidRPr="00A32550" w:rsidRDefault="007F37BE" w:rsidP="002F17A3">
      <w:pPr>
        <w:tabs>
          <w:tab w:val="left" w:pos="8280"/>
        </w:tabs>
        <w:ind w:firstLineChars="200" w:firstLine="640"/>
        <w:jc w:val="left"/>
        <w:rPr>
          <w:rFonts w:ascii="仿宋" w:eastAsia="仿宋" w:hAnsi="仿宋"/>
          <w:sz w:val="32"/>
          <w:szCs w:val="32"/>
        </w:rPr>
      </w:pPr>
      <w:r>
        <w:rPr>
          <w:rFonts w:ascii="仿宋" w:eastAsia="仿宋" w:hAnsi="仿宋" w:hint="eastAsia"/>
          <w:noProof/>
          <w:sz w:val="32"/>
          <w:szCs w:val="32"/>
        </w:rPr>
        <w:drawing>
          <wp:inline distT="0" distB="0" distL="0" distR="0">
            <wp:extent cx="5274310" cy="3076575"/>
            <wp:effectExtent l="19050" t="0" r="2159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F17A3" w:rsidRDefault="002F17A3" w:rsidP="009A19FD">
      <w:pPr>
        <w:ind w:firstLineChars="200" w:firstLine="640"/>
        <w:rPr>
          <w:rFonts w:ascii="仿宋" w:eastAsia="仿宋" w:hAnsi="仿宋"/>
          <w:sz w:val="32"/>
          <w:szCs w:val="32"/>
        </w:rPr>
      </w:pPr>
    </w:p>
    <w:p w:rsidR="009A19FD" w:rsidRPr="00A32550" w:rsidRDefault="009A19FD" w:rsidP="009A19FD">
      <w:pPr>
        <w:ind w:firstLineChars="200" w:firstLine="640"/>
        <w:rPr>
          <w:rFonts w:ascii="仿宋" w:eastAsia="仿宋" w:hAnsi="仿宋"/>
          <w:sz w:val="32"/>
          <w:szCs w:val="32"/>
        </w:rPr>
      </w:pPr>
      <w:r>
        <w:rPr>
          <w:rFonts w:ascii="仿宋" w:eastAsia="仿宋" w:hAnsi="仿宋" w:hint="eastAsia"/>
          <w:sz w:val="32"/>
          <w:szCs w:val="32"/>
        </w:rPr>
        <w:t>3.</w:t>
      </w:r>
      <w:r w:rsidRPr="00A32550">
        <w:rPr>
          <w:rFonts w:ascii="仿宋" w:eastAsia="仿宋" w:hAnsi="仿宋" w:hint="eastAsia"/>
          <w:sz w:val="32"/>
          <w:szCs w:val="32"/>
        </w:rPr>
        <w:t>按参加诉讼的企业类型划分</w:t>
      </w:r>
    </w:p>
    <w:p w:rsidR="009A19FD" w:rsidRDefault="009A19FD" w:rsidP="009A19FD">
      <w:pPr>
        <w:tabs>
          <w:tab w:val="left" w:pos="8280"/>
        </w:tabs>
        <w:ind w:firstLineChars="200" w:firstLine="640"/>
        <w:jc w:val="left"/>
        <w:rPr>
          <w:rFonts w:ascii="仿宋" w:eastAsia="仿宋" w:hAnsi="仿宋"/>
          <w:sz w:val="32"/>
          <w:szCs w:val="32"/>
        </w:rPr>
      </w:pPr>
      <w:r w:rsidRPr="00A32550">
        <w:rPr>
          <w:rFonts w:ascii="仿宋" w:eastAsia="仿宋" w:hAnsi="仿宋" w:hint="eastAsia"/>
          <w:sz w:val="32"/>
          <w:szCs w:val="32"/>
        </w:rPr>
        <w:t>2012-2016年，受理涉林国有企业参加诉讼的合同类纠纷参加诉讼案件16件，占比为80%；受理辖区内的供热企业</w:t>
      </w:r>
      <w:r>
        <w:rPr>
          <w:rFonts w:ascii="仿宋" w:eastAsia="仿宋" w:hAnsi="仿宋" w:hint="eastAsia"/>
          <w:sz w:val="32"/>
          <w:szCs w:val="32"/>
        </w:rPr>
        <w:t>（民营）</w:t>
      </w:r>
      <w:r w:rsidRPr="00A32550">
        <w:rPr>
          <w:rFonts w:ascii="仿宋" w:eastAsia="仿宋" w:hAnsi="仿宋" w:hint="eastAsia"/>
          <w:sz w:val="32"/>
          <w:szCs w:val="32"/>
        </w:rPr>
        <w:t>参加诉讼的合同类纠纷案件3件，占比为15%；受理公民之间涉林承包合同纠纷案件1件，占比为5%。</w:t>
      </w:r>
    </w:p>
    <w:p w:rsidR="007F37BE" w:rsidRPr="00A32550" w:rsidRDefault="007F37BE" w:rsidP="002F17A3">
      <w:pPr>
        <w:tabs>
          <w:tab w:val="left" w:pos="8280"/>
        </w:tabs>
        <w:ind w:firstLineChars="200" w:firstLine="640"/>
        <w:jc w:val="left"/>
        <w:rPr>
          <w:rFonts w:ascii="仿宋" w:eastAsia="仿宋" w:hAnsi="仿宋"/>
          <w:sz w:val="32"/>
          <w:szCs w:val="32"/>
        </w:rPr>
      </w:pPr>
      <w:r>
        <w:rPr>
          <w:rFonts w:ascii="仿宋" w:eastAsia="仿宋" w:hAnsi="仿宋" w:hint="eastAsia"/>
          <w:noProof/>
          <w:sz w:val="32"/>
          <w:szCs w:val="32"/>
        </w:rPr>
        <w:lastRenderedPageBreak/>
        <w:drawing>
          <wp:inline distT="0" distB="0" distL="0" distR="0">
            <wp:extent cx="5274310" cy="3076575"/>
            <wp:effectExtent l="19050" t="0" r="21590" b="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17A3" w:rsidRDefault="002F17A3" w:rsidP="009A19FD">
      <w:pPr>
        <w:ind w:firstLineChars="200" w:firstLine="640"/>
        <w:rPr>
          <w:rFonts w:ascii="仿宋" w:eastAsia="仿宋" w:hAnsi="仿宋"/>
          <w:sz w:val="32"/>
          <w:szCs w:val="32"/>
        </w:rPr>
      </w:pPr>
    </w:p>
    <w:p w:rsidR="009A19FD" w:rsidRPr="00A32550" w:rsidRDefault="009A19FD" w:rsidP="009A19FD">
      <w:pPr>
        <w:ind w:firstLineChars="200" w:firstLine="640"/>
        <w:rPr>
          <w:rFonts w:ascii="仿宋" w:eastAsia="仿宋" w:hAnsi="仿宋"/>
          <w:sz w:val="32"/>
          <w:szCs w:val="32"/>
        </w:rPr>
      </w:pPr>
      <w:r>
        <w:rPr>
          <w:rFonts w:ascii="仿宋" w:eastAsia="仿宋" w:hAnsi="仿宋" w:hint="eastAsia"/>
          <w:sz w:val="32"/>
          <w:szCs w:val="32"/>
        </w:rPr>
        <w:t>4.</w:t>
      </w:r>
      <w:r w:rsidRPr="00A32550">
        <w:rPr>
          <w:rFonts w:ascii="仿宋" w:eastAsia="仿宋" w:hAnsi="仿宋" w:hint="eastAsia"/>
          <w:sz w:val="32"/>
          <w:szCs w:val="32"/>
        </w:rPr>
        <w:t>从参加诉讼的法律结果来划分</w:t>
      </w:r>
    </w:p>
    <w:p w:rsidR="007F37BE" w:rsidRDefault="009A19FD" w:rsidP="000A7FF4">
      <w:pPr>
        <w:ind w:firstLineChars="200" w:firstLine="640"/>
        <w:jc w:val="left"/>
        <w:rPr>
          <w:rFonts w:ascii="仿宋" w:eastAsia="仿宋" w:hAnsi="仿宋"/>
          <w:sz w:val="32"/>
          <w:szCs w:val="32"/>
        </w:rPr>
      </w:pPr>
      <w:r w:rsidRPr="00A32550">
        <w:rPr>
          <w:rFonts w:ascii="仿宋" w:eastAsia="仿宋" w:hAnsi="仿宋" w:hint="eastAsia"/>
          <w:sz w:val="32"/>
          <w:szCs w:val="32"/>
        </w:rPr>
        <w:t>2012-2016年间受理涉涉林企业合同类纠纷案件中，涉林企业胜诉的案件仅为7件，占比为35%；而涉林企业败诉案件5件，占比为25%；涉林企业作为原告撤诉合同类纠纷案件5件，占比为25%；起诉涉林企业撤诉的合同类纠纷案件2件，占比为10%；公民之间涉林承包合同纠纷案件1件，占比为5%。</w:t>
      </w:r>
    </w:p>
    <w:p w:rsidR="007F37BE" w:rsidRDefault="007F37BE" w:rsidP="009A19FD">
      <w:pPr>
        <w:ind w:firstLineChars="200" w:firstLine="640"/>
        <w:jc w:val="left"/>
        <w:rPr>
          <w:rFonts w:ascii="仿宋" w:eastAsia="仿宋" w:hAnsi="仿宋"/>
          <w:sz w:val="32"/>
          <w:szCs w:val="32"/>
        </w:rPr>
      </w:pPr>
      <w:r w:rsidRPr="007F37BE">
        <w:rPr>
          <w:rFonts w:ascii="仿宋" w:eastAsia="仿宋" w:hAnsi="仿宋" w:hint="eastAsia"/>
          <w:noProof/>
          <w:sz w:val="32"/>
          <w:szCs w:val="32"/>
        </w:rPr>
        <w:lastRenderedPageBreak/>
        <w:drawing>
          <wp:inline distT="0" distB="0" distL="0" distR="0">
            <wp:extent cx="5274310" cy="2952750"/>
            <wp:effectExtent l="19050" t="0" r="21590" b="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37BE" w:rsidRDefault="007F37BE" w:rsidP="007F37BE">
      <w:pPr>
        <w:jc w:val="left"/>
        <w:rPr>
          <w:rFonts w:ascii="仿宋" w:eastAsia="仿宋" w:hAnsi="仿宋"/>
          <w:sz w:val="32"/>
          <w:szCs w:val="32"/>
        </w:rPr>
      </w:pPr>
    </w:p>
    <w:p w:rsidR="009A19FD" w:rsidRPr="00A32550" w:rsidRDefault="009A19FD" w:rsidP="009A19FD">
      <w:pPr>
        <w:ind w:firstLineChars="200" w:firstLine="640"/>
        <w:rPr>
          <w:rFonts w:ascii="仿宋" w:eastAsia="仿宋" w:hAnsi="仿宋"/>
          <w:sz w:val="32"/>
          <w:szCs w:val="32"/>
        </w:rPr>
      </w:pPr>
      <w:r>
        <w:rPr>
          <w:rFonts w:ascii="仿宋" w:eastAsia="仿宋" w:hAnsi="仿宋" w:hint="eastAsia"/>
          <w:sz w:val="32"/>
          <w:szCs w:val="32"/>
        </w:rPr>
        <w:t>（二）</w:t>
      </w:r>
      <w:r w:rsidRPr="00A32550">
        <w:rPr>
          <w:rFonts w:ascii="仿宋" w:eastAsia="仿宋" w:hAnsi="仿宋" w:hint="eastAsia"/>
          <w:sz w:val="32"/>
          <w:szCs w:val="32"/>
        </w:rPr>
        <w:t>涉林企业侵权类纠纷案件特点</w:t>
      </w:r>
    </w:p>
    <w:p w:rsidR="009A19FD" w:rsidRPr="00A32550" w:rsidRDefault="009A19FD" w:rsidP="009A19FD">
      <w:pPr>
        <w:ind w:firstLineChars="200" w:firstLine="640"/>
        <w:rPr>
          <w:rFonts w:ascii="仿宋" w:eastAsia="仿宋" w:hAnsi="仿宋"/>
          <w:sz w:val="32"/>
          <w:szCs w:val="32"/>
        </w:rPr>
      </w:pPr>
      <w:r>
        <w:rPr>
          <w:rFonts w:ascii="仿宋" w:eastAsia="仿宋" w:hAnsi="仿宋" w:hint="eastAsia"/>
          <w:sz w:val="32"/>
          <w:szCs w:val="32"/>
        </w:rPr>
        <w:t>1.</w:t>
      </w:r>
      <w:r w:rsidRPr="00A32550">
        <w:rPr>
          <w:rFonts w:ascii="仿宋" w:eastAsia="仿宋" w:hAnsi="仿宋" w:hint="eastAsia"/>
          <w:sz w:val="32"/>
          <w:szCs w:val="32"/>
        </w:rPr>
        <w:t>按诉讼主体身份划分</w:t>
      </w:r>
    </w:p>
    <w:p w:rsidR="009A19FD" w:rsidRPr="00A32550" w:rsidRDefault="009A19FD" w:rsidP="009A19FD">
      <w:pPr>
        <w:ind w:firstLineChars="168" w:firstLine="538"/>
        <w:rPr>
          <w:rFonts w:ascii="仿宋" w:eastAsia="仿宋" w:hAnsi="仿宋"/>
          <w:sz w:val="32"/>
          <w:szCs w:val="32"/>
        </w:rPr>
      </w:pPr>
      <w:r>
        <w:rPr>
          <w:rFonts w:ascii="仿宋" w:eastAsia="仿宋" w:hAnsi="仿宋" w:hint="eastAsia"/>
          <w:sz w:val="32"/>
          <w:szCs w:val="32"/>
        </w:rPr>
        <w:t>（1）</w:t>
      </w:r>
      <w:r w:rsidRPr="00A32550">
        <w:rPr>
          <w:rFonts w:ascii="仿宋" w:eastAsia="仿宋" w:hAnsi="仿宋" w:hint="eastAsia"/>
          <w:sz w:val="32"/>
          <w:szCs w:val="32"/>
        </w:rPr>
        <w:t>企业作为侵权类案件被告身份参加诉讼的占有绝对优势，本院在 2012-2016年期间，共受理涉林企业侵权类民事纠纷案件8件，以企业作被告的案件8件；占比为100%；而企业作为原告提起侵权纠纷诉讼的民事案件占比为零。</w:t>
      </w:r>
    </w:p>
    <w:p w:rsidR="009A19FD" w:rsidRPr="00A32550" w:rsidRDefault="009A19FD" w:rsidP="009A19FD">
      <w:pPr>
        <w:ind w:firstLineChars="200" w:firstLine="640"/>
        <w:rPr>
          <w:rFonts w:ascii="仿宋" w:eastAsia="仿宋" w:hAnsi="仿宋"/>
          <w:sz w:val="32"/>
          <w:szCs w:val="32"/>
        </w:rPr>
      </w:pPr>
      <w:r>
        <w:rPr>
          <w:rFonts w:ascii="仿宋" w:eastAsia="仿宋" w:hAnsi="仿宋" w:hint="eastAsia"/>
          <w:sz w:val="32"/>
          <w:szCs w:val="32"/>
        </w:rPr>
        <w:t>（2）</w:t>
      </w:r>
      <w:r w:rsidRPr="00A32550">
        <w:rPr>
          <w:rFonts w:ascii="仿宋" w:eastAsia="仿宋" w:hAnsi="仿宋" w:hint="eastAsia"/>
          <w:sz w:val="32"/>
          <w:szCs w:val="32"/>
        </w:rPr>
        <w:t>自然人作为原告起诉企业侵权的案件8件，占比为100%；而企业作为原告提起侵权纠纷诉讼的民事案件占比为零。</w:t>
      </w:r>
    </w:p>
    <w:p w:rsidR="009A19FD" w:rsidRPr="00A32550" w:rsidRDefault="009A19FD" w:rsidP="009A19FD">
      <w:pPr>
        <w:ind w:firstLineChars="200" w:firstLine="640"/>
        <w:rPr>
          <w:rFonts w:ascii="仿宋" w:eastAsia="仿宋" w:hAnsi="仿宋"/>
          <w:sz w:val="32"/>
          <w:szCs w:val="32"/>
        </w:rPr>
      </w:pPr>
      <w:r>
        <w:rPr>
          <w:rFonts w:ascii="仿宋" w:eastAsia="仿宋" w:hAnsi="仿宋" w:hint="eastAsia"/>
          <w:sz w:val="32"/>
          <w:szCs w:val="32"/>
        </w:rPr>
        <w:t>（3）</w:t>
      </w:r>
      <w:r w:rsidRPr="00A32550">
        <w:rPr>
          <w:rFonts w:ascii="仿宋" w:eastAsia="仿宋" w:hAnsi="仿宋" w:hint="eastAsia"/>
          <w:sz w:val="32"/>
          <w:szCs w:val="32"/>
        </w:rPr>
        <w:t>企业作为第三人参加诉讼案件1件，是作为无独求权的第三人身份参加诉讼活动的。自然人作为无独立请求权的第三人参加侵权纠纷类案件诉讼活动的为零。</w:t>
      </w:r>
    </w:p>
    <w:p w:rsidR="009A19FD" w:rsidRPr="00A32550" w:rsidRDefault="009A19FD" w:rsidP="009A19FD">
      <w:pPr>
        <w:ind w:firstLineChars="200" w:firstLine="640"/>
        <w:rPr>
          <w:rFonts w:ascii="仿宋" w:eastAsia="仿宋" w:hAnsi="仿宋"/>
          <w:sz w:val="32"/>
          <w:szCs w:val="32"/>
        </w:rPr>
      </w:pPr>
      <w:r>
        <w:rPr>
          <w:rFonts w:ascii="仿宋" w:eastAsia="仿宋" w:hAnsi="仿宋" w:hint="eastAsia"/>
          <w:sz w:val="32"/>
          <w:szCs w:val="32"/>
        </w:rPr>
        <w:t>2.</w:t>
      </w:r>
      <w:r w:rsidRPr="00A32550">
        <w:rPr>
          <w:rFonts w:ascii="仿宋" w:eastAsia="仿宋" w:hAnsi="仿宋" w:hint="eastAsia"/>
          <w:sz w:val="32"/>
          <w:szCs w:val="32"/>
        </w:rPr>
        <w:t>按受理案件的法律关系的性质划分：</w:t>
      </w:r>
    </w:p>
    <w:p w:rsidR="009A19FD" w:rsidRPr="00A32550" w:rsidRDefault="009A19FD" w:rsidP="009A19FD">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w:t>
      </w:r>
      <w:r w:rsidRPr="00A32550">
        <w:rPr>
          <w:rFonts w:ascii="仿宋" w:eastAsia="仿宋" w:hAnsi="仿宋" w:hint="eastAsia"/>
          <w:sz w:val="32"/>
          <w:szCs w:val="32"/>
        </w:rPr>
        <w:t>2012-2016年本院受理财产损害赔偿纠纷案件2件；</w:t>
      </w:r>
      <w:r w:rsidRPr="00A32550">
        <w:rPr>
          <w:rFonts w:ascii="仿宋" w:eastAsia="仿宋" w:hAnsi="仿宋" w:hint="eastAsia"/>
          <w:sz w:val="32"/>
          <w:szCs w:val="32"/>
        </w:rPr>
        <w:lastRenderedPageBreak/>
        <w:t>1件为供热公司履行供热合同期间管理不慎致使楼道内的水暖管道大量跑水，造成用热户财产损失，供热企业构成侵权，赔偿用户财产损失1500元；另1件是涉林企业在倾倒垃圾时因疏于管理致使垃圾场地向外延伸占用村民的农田地，最后二审调解赔偿占用农田地村民的财产损失2万元结案。</w:t>
      </w:r>
    </w:p>
    <w:p w:rsidR="009A19FD" w:rsidRPr="00A32550" w:rsidRDefault="009A19FD" w:rsidP="009A19FD">
      <w:pPr>
        <w:ind w:firstLineChars="200" w:firstLine="640"/>
        <w:rPr>
          <w:rFonts w:ascii="仿宋" w:eastAsia="仿宋" w:hAnsi="仿宋"/>
          <w:sz w:val="32"/>
          <w:szCs w:val="32"/>
        </w:rPr>
      </w:pPr>
      <w:r>
        <w:rPr>
          <w:rFonts w:ascii="仿宋" w:eastAsia="仿宋" w:hAnsi="仿宋" w:hint="eastAsia"/>
          <w:sz w:val="32"/>
          <w:szCs w:val="32"/>
        </w:rPr>
        <w:t>（2）</w:t>
      </w:r>
      <w:r w:rsidRPr="00A32550">
        <w:rPr>
          <w:rFonts w:ascii="仿宋" w:eastAsia="仿宋" w:hAnsi="仿宋" w:hint="eastAsia"/>
          <w:sz w:val="32"/>
          <w:szCs w:val="32"/>
        </w:rPr>
        <w:t>2012-2016年本院受理的医疗损害责任纠纷案件3件，从审理结果看，依法构成医疗损害案件1件，属于医疗产品质量责任纠纷1件，以产品生产厂家和XX医院共同赔偿原告财产损失1.8余万元调解结案；虽不构成医疗损害，但医院在诊疗过程中存在医疗差错的民事纠纷案件2件，从鉴定意见分析医院均存在诊疗差错，虽然XX医院对医疗损害结果的参与度极低，但依法仍需给予原告适当补偿为宜，现调解结案1件，其补偿金额为6000元；判决结案1件，补偿金额为3.8万元；均已履行完毕。</w:t>
      </w:r>
    </w:p>
    <w:p w:rsidR="009A19FD" w:rsidRPr="00A32550" w:rsidRDefault="009A19FD" w:rsidP="009A19FD">
      <w:pPr>
        <w:ind w:firstLineChars="200" w:firstLine="640"/>
        <w:rPr>
          <w:rFonts w:ascii="仿宋" w:eastAsia="仿宋" w:hAnsi="仿宋"/>
          <w:sz w:val="32"/>
          <w:szCs w:val="32"/>
        </w:rPr>
      </w:pPr>
      <w:r>
        <w:rPr>
          <w:rFonts w:ascii="仿宋" w:eastAsia="仿宋" w:hAnsi="仿宋" w:hint="eastAsia"/>
          <w:sz w:val="32"/>
          <w:szCs w:val="32"/>
        </w:rPr>
        <w:t>（3）</w:t>
      </w:r>
      <w:r w:rsidRPr="00A32550">
        <w:rPr>
          <w:rFonts w:ascii="仿宋" w:eastAsia="仿宋" w:hAnsi="仿宋" w:hint="eastAsia"/>
          <w:sz w:val="32"/>
          <w:szCs w:val="32"/>
        </w:rPr>
        <w:t>物件脱落、坠落致人损害赔偿纠纷案件2件，从案件的成因来看，均系企业在生产经营或企业管理过程中因管理不慎致使经营管理物件发生脱落、坠落致人损害的侵权责任纠纷，由于企业不能证明没有过错，调解1件，企业赔偿原告损失</w:t>
      </w:r>
      <w:r>
        <w:rPr>
          <w:rFonts w:ascii="仿宋" w:eastAsia="仿宋" w:hAnsi="仿宋" w:hint="eastAsia"/>
          <w:sz w:val="32"/>
          <w:szCs w:val="32"/>
        </w:rPr>
        <w:t>45</w:t>
      </w:r>
      <w:r w:rsidRPr="00A32550">
        <w:rPr>
          <w:rFonts w:ascii="仿宋" w:eastAsia="仿宋" w:hAnsi="仿宋" w:hint="eastAsia"/>
          <w:sz w:val="32"/>
          <w:szCs w:val="32"/>
        </w:rPr>
        <w:t>万余元；判决1件，企业赔偿原告损失1.5万余元。</w:t>
      </w:r>
    </w:p>
    <w:p w:rsidR="009A19FD" w:rsidRPr="00A32550" w:rsidRDefault="009A19FD" w:rsidP="009A19FD">
      <w:pPr>
        <w:ind w:firstLineChars="200" w:firstLine="640"/>
        <w:rPr>
          <w:rFonts w:ascii="仿宋" w:eastAsia="仿宋" w:hAnsi="仿宋"/>
          <w:sz w:val="32"/>
          <w:szCs w:val="32"/>
        </w:rPr>
      </w:pPr>
      <w:r>
        <w:rPr>
          <w:rFonts w:ascii="仿宋" w:eastAsia="仿宋" w:hAnsi="仿宋" w:hint="eastAsia"/>
          <w:sz w:val="32"/>
          <w:szCs w:val="32"/>
        </w:rPr>
        <w:t>（4）</w:t>
      </w:r>
      <w:r w:rsidRPr="00A32550">
        <w:rPr>
          <w:rFonts w:ascii="仿宋" w:eastAsia="仿宋" w:hAnsi="仿宋" w:hint="eastAsia"/>
          <w:sz w:val="32"/>
          <w:szCs w:val="32"/>
        </w:rPr>
        <w:t>企业发包过程中因对林地发包范围四至界定不明，致使承包人在承包经营过程中与其他承包人因经营区域及</w:t>
      </w:r>
      <w:r w:rsidRPr="00A32550">
        <w:rPr>
          <w:rFonts w:ascii="仿宋" w:eastAsia="仿宋" w:hAnsi="仿宋" w:hint="eastAsia"/>
          <w:sz w:val="32"/>
          <w:szCs w:val="32"/>
        </w:rPr>
        <w:lastRenderedPageBreak/>
        <w:t>范围界定问题产生纠纷案件1件，法院在处理案件过程中把企业追加为第三人参加到诉讼中来，以便法院查明事实，最终由于承包人对企业确认的承包经营区域的四至认可，企业没有承担赔偿责任案件1件。</w:t>
      </w:r>
    </w:p>
    <w:p w:rsidR="009A19FD" w:rsidRPr="00EA65C9" w:rsidRDefault="009A19FD" w:rsidP="00EA65C9">
      <w:pPr>
        <w:ind w:firstLineChars="200" w:firstLine="640"/>
        <w:rPr>
          <w:rFonts w:ascii="仿宋" w:eastAsia="仿宋" w:hAnsi="仿宋"/>
          <w:sz w:val="32"/>
          <w:szCs w:val="32"/>
        </w:rPr>
      </w:pPr>
      <w:r w:rsidRPr="00EA65C9">
        <w:rPr>
          <w:rFonts w:ascii="仿宋" w:eastAsia="仿宋" w:hAnsi="仿宋" w:hint="eastAsia"/>
          <w:sz w:val="32"/>
          <w:szCs w:val="32"/>
        </w:rPr>
        <w:t>3.按参加诉讼的企业类型划分</w:t>
      </w:r>
    </w:p>
    <w:p w:rsidR="009A19FD" w:rsidRPr="00EA65C9" w:rsidRDefault="009A19FD" w:rsidP="00EA65C9">
      <w:pPr>
        <w:ind w:firstLineChars="200" w:firstLine="640"/>
        <w:rPr>
          <w:rFonts w:ascii="仿宋" w:eastAsia="仿宋" w:hAnsi="仿宋"/>
          <w:sz w:val="32"/>
          <w:szCs w:val="32"/>
        </w:rPr>
      </w:pPr>
      <w:r w:rsidRPr="00EA65C9">
        <w:rPr>
          <w:rFonts w:ascii="仿宋" w:eastAsia="仿宋" w:hAnsi="仿宋" w:hint="eastAsia"/>
          <w:sz w:val="32"/>
          <w:szCs w:val="32"/>
        </w:rPr>
        <w:t>（1）涉林企业作为被告参加诉讼的侵权类案件4件，占比为50%；</w:t>
      </w:r>
    </w:p>
    <w:p w:rsidR="009A19FD" w:rsidRPr="00EA65C9" w:rsidRDefault="009A19FD" w:rsidP="00EA65C9">
      <w:pPr>
        <w:ind w:firstLineChars="200" w:firstLine="640"/>
        <w:rPr>
          <w:rFonts w:ascii="仿宋" w:eastAsia="仿宋" w:hAnsi="仿宋"/>
          <w:sz w:val="32"/>
          <w:szCs w:val="32"/>
        </w:rPr>
      </w:pPr>
      <w:r w:rsidRPr="00EA65C9">
        <w:rPr>
          <w:rFonts w:ascii="仿宋" w:eastAsia="仿宋" w:hAnsi="仿宋" w:hint="eastAsia"/>
          <w:sz w:val="32"/>
          <w:szCs w:val="32"/>
        </w:rPr>
        <w:t>（2）涉林企业控股的医院作为被告参加诉讼的侵权类纠纷案件3件，占比为37.5%；</w:t>
      </w:r>
    </w:p>
    <w:p w:rsidR="009A19FD" w:rsidRPr="00EA65C9" w:rsidRDefault="009A19FD" w:rsidP="00EA65C9">
      <w:pPr>
        <w:ind w:firstLineChars="200" w:firstLine="640"/>
        <w:rPr>
          <w:rFonts w:ascii="仿宋" w:eastAsia="仿宋" w:hAnsi="仿宋"/>
          <w:sz w:val="32"/>
          <w:szCs w:val="32"/>
        </w:rPr>
      </w:pPr>
      <w:r w:rsidRPr="00EA65C9">
        <w:rPr>
          <w:rFonts w:ascii="仿宋" w:eastAsia="仿宋" w:hAnsi="仿宋" w:hint="eastAsia"/>
          <w:sz w:val="32"/>
          <w:szCs w:val="32"/>
        </w:rPr>
        <w:t>（3）涉林企业辖区内的供热企业作为被告参加诉讼的侵权纠纷案件1件，占比为12.5%。</w:t>
      </w:r>
    </w:p>
    <w:p w:rsidR="007F37BE" w:rsidRPr="00EA65C9" w:rsidRDefault="007F37BE" w:rsidP="00EA65C9">
      <w:pPr>
        <w:ind w:firstLineChars="200" w:firstLine="640"/>
        <w:rPr>
          <w:rFonts w:ascii="仿宋" w:eastAsia="仿宋" w:hAnsi="仿宋"/>
          <w:sz w:val="32"/>
          <w:szCs w:val="32"/>
        </w:rPr>
      </w:pPr>
    </w:p>
    <w:p w:rsidR="007F37BE" w:rsidRPr="00EA65C9" w:rsidRDefault="007F37BE" w:rsidP="00EA65C9">
      <w:pPr>
        <w:ind w:firstLineChars="200" w:firstLine="640"/>
        <w:rPr>
          <w:rFonts w:ascii="仿宋" w:eastAsia="仿宋" w:hAnsi="仿宋"/>
          <w:sz w:val="32"/>
          <w:szCs w:val="32"/>
        </w:rPr>
      </w:pPr>
      <w:r w:rsidRPr="00EA65C9">
        <w:rPr>
          <w:rFonts w:ascii="仿宋" w:eastAsia="仿宋" w:hAnsi="仿宋"/>
          <w:noProof/>
          <w:sz w:val="32"/>
          <w:szCs w:val="32"/>
        </w:rPr>
        <w:drawing>
          <wp:inline distT="0" distB="0" distL="0" distR="0">
            <wp:extent cx="5274310" cy="3076575"/>
            <wp:effectExtent l="19050" t="0" r="21590" b="0"/>
            <wp:docPr id="2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37BE" w:rsidRPr="00EA65C9" w:rsidRDefault="007F37BE" w:rsidP="007F37BE">
      <w:pPr>
        <w:rPr>
          <w:rFonts w:ascii="仿宋" w:eastAsia="仿宋" w:hAnsi="仿宋"/>
          <w:sz w:val="32"/>
          <w:szCs w:val="32"/>
        </w:rPr>
      </w:pPr>
    </w:p>
    <w:p w:rsidR="009A19FD" w:rsidRPr="00EA65C9" w:rsidRDefault="009A19FD" w:rsidP="00EA65C9">
      <w:pPr>
        <w:ind w:firstLineChars="200" w:firstLine="640"/>
        <w:rPr>
          <w:rFonts w:ascii="仿宋" w:eastAsia="仿宋" w:hAnsi="仿宋"/>
          <w:sz w:val="32"/>
          <w:szCs w:val="32"/>
        </w:rPr>
      </w:pPr>
      <w:r w:rsidRPr="00EA65C9">
        <w:rPr>
          <w:rFonts w:ascii="仿宋" w:eastAsia="仿宋" w:hAnsi="仿宋" w:hint="eastAsia"/>
          <w:sz w:val="32"/>
          <w:szCs w:val="32"/>
        </w:rPr>
        <w:t>4.</w:t>
      </w:r>
      <w:r w:rsidR="000A7FF4" w:rsidRPr="00EA65C9">
        <w:rPr>
          <w:rFonts w:ascii="仿宋" w:eastAsia="仿宋" w:hAnsi="仿宋" w:hint="eastAsia"/>
          <w:sz w:val="32"/>
          <w:szCs w:val="32"/>
        </w:rPr>
        <w:t xml:space="preserve"> 从参加诉讼的法律结果来划分</w:t>
      </w:r>
    </w:p>
    <w:p w:rsidR="00513BB3" w:rsidRPr="00EA65C9" w:rsidRDefault="009A19FD" w:rsidP="00EA65C9">
      <w:pPr>
        <w:ind w:firstLineChars="200" w:firstLine="640"/>
        <w:rPr>
          <w:rFonts w:ascii="仿宋" w:eastAsia="仿宋" w:hAnsi="仿宋"/>
          <w:sz w:val="32"/>
          <w:szCs w:val="32"/>
        </w:rPr>
      </w:pPr>
      <w:r w:rsidRPr="00EA65C9">
        <w:rPr>
          <w:rFonts w:ascii="仿宋" w:eastAsia="仿宋" w:hAnsi="仿宋" w:hint="eastAsia"/>
          <w:sz w:val="32"/>
          <w:szCs w:val="32"/>
        </w:rPr>
        <w:lastRenderedPageBreak/>
        <w:t>涉林企业败诉的侵权类民事纠纷案件3件，占比37.5%；涉林企业控股的医院败诉的侵权类民事纠纷案件3件，占比为37.5%；涉林企业辖区内的供热企业败诉的侵权类民事纠纷案件1件，；涉林企业依法不承担侵权责任民事纠纷案件1件，占比仅为12.5%。</w:t>
      </w:r>
    </w:p>
    <w:p w:rsidR="009A19FD" w:rsidRDefault="009A19FD" w:rsidP="009A19FD">
      <w:pPr>
        <w:ind w:firstLineChars="200" w:firstLine="640"/>
        <w:jc w:val="left"/>
        <w:rPr>
          <w:rFonts w:ascii="仿宋" w:eastAsia="仿宋" w:hAnsi="仿宋"/>
          <w:sz w:val="32"/>
          <w:szCs w:val="32"/>
        </w:rPr>
      </w:pPr>
      <w:r>
        <w:rPr>
          <w:rFonts w:ascii="仿宋" w:eastAsia="仿宋" w:hAnsi="仿宋" w:hint="eastAsia"/>
          <w:sz w:val="32"/>
          <w:szCs w:val="32"/>
        </w:rPr>
        <w:t>（三）</w:t>
      </w:r>
      <w:r w:rsidRPr="00A32550">
        <w:rPr>
          <w:rFonts w:ascii="仿宋" w:eastAsia="仿宋" w:hAnsi="仿宋" w:hint="eastAsia"/>
          <w:sz w:val="32"/>
          <w:szCs w:val="32"/>
        </w:rPr>
        <w:t>涉林企业</w:t>
      </w:r>
      <w:r w:rsidRPr="00207182">
        <w:rPr>
          <w:rFonts w:ascii="仿宋" w:eastAsia="仿宋" w:hAnsi="仿宋" w:hint="eastAsia"/>
          <w:sz w:val="32"/>
          <w:szCs w:val="32"/>
        </w:rPr>
        <w:t>物权纠纷</w:t>
      </w:r>
      <w:r>
        <w:rPr>
          <w:rFonts w:ascii="仿宋" w:eastAsia="仿宋" w:hAnsi="仿宋" w:hint="eastAsia"/>
          <w:sz w:val="32"/>
          <w:szCs w:val="32"/>
        </w:rPr>
        <w:t>案件中的特点：</w:t>
      </w:r>
    </w:p>
    <w:p w:rsidR="009A19FD" w:rsidRDefault="009A19FD" w:rsidP="009A19FD">
      <w:pPr>
        <w:ind w:firstLineChars="200" w:firstLine="640"/>
        <w:jc w:val="left"/>
        <w:rPr>
          <w:rFonts w:ascii="仿宋" w:eastAsia="仿宋" w:hAnsi="仿宋"/>
          <w:sz w:val="32"/>
          <w:szCs w:val="32"/>
        </w:rPr>
      </w:pPr>
      <w:r>
        <w:rPr>
          <w:rFonts w:ascii="仿宋" w:eastAsia="仿宋" w:hAnsi="仿宋" w:hint="eastAsia"/>
          <w:sz w:val="32"/>
          <w:szCs w:val="32"/>
        </w:rPr>
        <w:t>1.从法律关系构成角度看，企业作为物权权利人起诉维权请求排除妨碍的有3件，企业作为被诉主体被请求赔偿财产损失的有5件，争议的内容具有同一性；</w:t>
      </w:r>
    </w:p>
    <w:p w:rsidR="009A19FD" w:rsidRDefault="009A19FD" w:rsidP="009A19FD">
      <w:pPr>
        <w:ind w:firstLineChars="200" w:firstLine="640"/>
        <w:jc w:val="left"/>
        <w:rPr>
          <w:rFonts w:ascii="仿宋" w:eastAsia="仿宋" w:hAnsi="仿宋"/>
          <w:sz w:val="32"/>
          <w:szCs w:val="32"/>
        </w:rPr>
      </w:pPr>
      <w:r>
        <w:rPr>
          <w:rFonts w:ascii="仿宋" w:eastAsia="仿宋" w:hAnsi="仿宋" w:hint="eastAsia"/>
          <w:sz w:val="32"/>
          <w:szCs w:val="32"/>
        </w:rPr>
        <w:t>2.从案件纠纷的胜诉率看，企业胜诉率高达100%；</w:t>
      </w:r>
    </w:p>
    <w:p w:rsidR="009A19FD" w:rsidRPr="00207182" w:rsidRDefault="009A19FD" w:rsidP="009A19FD">
      <w:pPr>
        <w:ind w:firstLineChars="200" w:firstLine="640"/>
        <w:jc w:val="left"/>
        <w:rPr>
          <w:rFonts w:ascii="仿宋" w:eastAsia="仿宋" w:hAnsi="仿宋"/>
          <w:sz w:val="32"/>
          <w:szCs w:val="32"/>
        </w:rPr>
      </w:pPr>
      <w:r>
        <w:rPr>
          <w:rFonts w:ascii="仿宋" w:eastAsia="仿宋" w:hAnsi="仿宋" w:hint="eastAsia"/>
          <w:sz w:val="32"/>
          <w:szCs w:val="32"/>
        </w:rPr>
        <w:t>3.从审理程序看，均一审终结，服判息诉广泛；</w:t>
      </w:r>
    </w:p>
    <w:p w:rsidR="009A19FD" w:rsidRPr="001C0B73" w:rsidRDefault="009A19FD" w:rsidP="009A19FD">
      <w:pPr>
        <w:ind w:firstLineChars="200" w:firstLine="640"/>
        <w:jc w:val="left"/>
        <w:rPr>
          <w:rFonts w:ascii="仿宋" w:eastAsia="仿宋" w:hAnsi="仿宋"/>
          <w:sz w:val="32"/>
          <w:szCs w:val="32"/>
        </w:rPr>
      </w:pPr>
      <w:r w:rsidRPr="001C0B73">
        <w:rPr>
          <w:rFonts w:ascii="仿宋" w:eastAsia="仿宋" w:hAnsi="仿宋" w:hint="eastAsia"/>
          <w:sz w:val="32"/>
          <w:szCs w:val="32"/>
        </w:rPr>
        <w:t>4.涉诉纠纷性质均为物权保护项下三级案由</w:t>
      </w:r>
      <w:r>
        <w:rPr>
          <w:rFonts w:ascii="仿宋" w:eastAsia="仿宋" w:hAnsi="仿宋" w:hint="eastAsia"/>
          <w:sz w:val="32"/>
          <w:szCs w:val="32"/>
        </w:rPr>
        <w:t>排除妨碍和财产损害赔偿纠纷，种类单一</w:t>
      </w:r>
      <w:r w:rsidRPr="001C0B73">
        <w:rPr>
          <w:rFonts w:ascii="仿宋" w:eastAsia="仿宋" w:hAnsi="仿宋" w:hint="eastAsia"/>
          <w:sz w:val="32"/>
          <w:szCs w:val="32"/>
        </w:rPr>
        <w:t>。</w:t>
      </w:r>
    </w:p>
    <w:p w:rsidR="009A19FD" w:rsidRPr="00A32550" w:rsidRDefault="009A19FD" w:rsidP="009A19FD">
      <w:pPr>
        <w:ind w:firstLineChars="200" w:firstLine="640"/>
        <w:rPr>
          <w:rFonts w:ascii="仿宋" w:eastAsia="仿宋" w:hAnsi="仿宋"/>
          <w:sz w:val="32"/>
          <w:szCs w:val="32"/>
        </w:rPr>
      </w:pPr>
      <w:r>
        <w:rPr>
          <w:rFonts w:ascii="仿宋" w:eastAsia="仿宋" w:hAnsi="仿宋" w:hint="eastAsia"/>
          <w:sz w:val="32"/>
          <w:szCs w:val="32"/>
        </w:rPr>
        <w:t>5.从裁判结果看,调解结案2件，撤回起诉3件；判决驳回诉讼请求3件，调撤率占62.5%，息诉服判率100%。</w:t>
      </w:r>
    </w:p>
    <w:p w:rsidR="009A19FD" w:rsidRPr="002E257C" w:rsidRDefault="009A19FD" w:rsidP="009A19FD">
      <w:pPr>
        <w:ind w:firstLine="720"/>
        <w:rPr>
          <w:rFonts w:ascii="仿宋" w:eastAsia="仿宋" w:hAnsi="仿宋"/>
          <w:sz w:val="32"/>
          <w:szCs w:val="32"/>
        </w:rPr>
      </w:pPr>
      <w:r>
        <w:rPr>
          <w:rFonts w:ascii="仿宋" w:eastAsia="仿宋" w:hAnsi="仿宋" w:hint="eastAsia"/>
          <w:sz w:val="32"/>
          <w:szCs w:val="32"/>
        </w:rPr>
        <w:t>（四）涉林企业</w:t>
      </w:r>
      <w:r w:rsidRPr="002E257C">
        <w:rPr>
          <w:rFonts w:ascii="仿宋" w:eastAsia="仿宋" w:hAnsi="仿宋" w:hint="eastAsia"/>
          <w:sz w:val="32"/>
          <w:szCs w:val="32"/>
        </w:rPr>
        <w:t>劳动争议案件</w:t>
      </w:r>
      <w:r>
        <w:rPr>
          <w:rFonts w:ascii="仿宋" w:eastAsia="仿宋" w:hAnsi="仿宋" w:hint="eastAsia"/>
          <w:sz w:val="32"/>
          <w:szCs w:val="32"/>
        </w:rPr>
        <w:t>的</w:t>
      </w:r>
      <w:r w:rsidRPr="002E257C">
        <w:rPr>
          <w:rFonts w:ascii="仿宋" w:eastAsia="仿宋" w:hAnsi="仿宋" w:hint="eastAsia"/>
          <w:sz w:val="32"/>
          <w:szCs w:val="32"/>
        </w:rPr>
        <w:t>特点：</w:t>
      </w:r>
    </w:p>
    <w:p w:rsidR="009A19FD" w:rsidRPr="002E257C" w:rsidRDefault="009A19FD" w:rsidP="009A19FD">
      <w:pPr>
        <w:ind w:firstLine="720"/>
        <w:rPr>
          <w:rFonts w:ascii="仿宋" w:eastAsia="仿宋" w:hAnsi="仿宋"/>
          <w:sz w:val="32"/>
          <w:szCs w:val="32"/>
        </w:rPr>
      </w:pPr>
      <w:r>
        <w:rPr>
          <w:rFonts w:ascii="仿宋" w:eastAsia="仿宋" w:hAnsi="仿宋" w:hint="eastAsia"/>
          <w:sz w:val="32"/>
          <w:szCs w:val="32"/>
        </w:rPr>
        <w:t>1.</w:t>
      </w:r>
      <w:r w:rsidRPr="002E257C">
        <w:rPr>
          <w:rFonts w:ascii="仿宋" w:eastAsia="仿宋" w:hAnsi="仿宋" w:hint="eastAsia"/>
          <w:sz w:val="32"/>
          <w:szCs w:val="32"/>
        </w:rPr>
        <w:t>双方争议矛盾比较尖锐，调解难度大，案结事了难。</w:t>
      </w:r>
    </w:p>
    <w:p w:rsidR="009A19FD" w:rsidRPr="002E257C" w:rsidRDefault="009A19FD" w:rsidP="009A19FD">
      <w:pPr>
        <w:ind w:firstLine="720"/>
        <w:rPr>
          <w:rFonts w:ascii="仿宋" w:eastAsia="仿宋" w:hAnsi="仿宋"/>
          <w:sz w:val="32"/>
          <w:szCs w:val="32"/>
        </w:rPr>
      </w:pPr>
      <w:r>
        <w:rPr>
          <w:rFonts w:ascii="仿宋" w:eastAsia="仿宋" w:hAnsi="仿宋" w:hint="eastAsia"/>
          <w:sz w:val="32"/>
          <w:szCs w:val="32"/>
        </w:rPr>
        <w:t>2.</w:t>
      </w:r>
      <w:r w:rsidRPr="002E257C">
        <w:rPr>
          <w:rFonts w:ascii="仿宋" w:eastAsia="仿宋" w:hAnsi="仿宋" w:hint="eastAsia"/>
          <w:sz w:val="32"/>
          <w:szCs w:val="32"/>
        </w:rPr>
        <w:t>“一裁二审”维权周期长。12件中9件经过“一裁二审”的维权周期。根据相关法律规定，劳动仲裁的最长时限是60天，一审的时限是6个月，二审的时限是3个月，这样一来，一个劳动争议纠纷案件如果要穷尽所有的法律救济途径的话，就可能历时一年多的时间。这种解决机制不利</w:t>
      </w:r>
      <w:r w:rsidRPr="002E257C">
        <w:rPr>
          <w:rFonts w:ascii="仿宋" w:eastAsia="仿宋" w:hAnsi="仿宋" w:hint="eastAsia"/>
          <w:sz w:val="32"/>
          <w:szCs w:val="32"/>
        </w:rPr>
        <w:lastRenderedPageBreak/>
        <w:t>于保护弱势群体的利益，给当事人造成诉累，影响司法机关的公信力，不利于和谐社会的构建。</w:t>
      </w:r>
    </w:p>
    <w:p w:rsidR="009A19FD" w:rsidRPr="002E257C" w:rsidRDefault="009A19FD" w:rsidP="009A19FD">
      <w:pPr>
        <w:ind w:firstLine="720"/>
        <w:rPr>
          <w:rFonts w:ascii="仿宋" w:eastAsia="仿宋" w:hAnsi="仿宋"/>
          <w:sz w:val="32"/>
          <w:szCs w:val="32"/>
        </w:rPr>
      </w:pPr>
      <w:r>
        <w:rPr>
          <w:rFonts w:ascii="仿宋" w:eastAsia="仿宋" w:hAnsi="仿宋" w:hint="eastAsia"/>
          <w:sz w:val="32"/>
          <w:szCs w:val="32"/>
        </w:rPr>
        <w:t>3.</w:t>
      </w:r>
      <w:r w:rsidRPr="002E257C">
        <w:rPr>
          <w:rFonts w:ascii="仿宋" w:eastAsia="仿宋" w:hAnsi="仿宋" w:hint="eastAsia"/>
          <w:sz w:val="32"/>
          <w:szCs w:val="32"/>
        </w:rPr>
        <w:t>用人单位提起诉讼的胜诉率低，多有恶意拖延诉讼之嫌，对处于劣势的劳动者不甚公平。</w:t>
      </w:r>
    </w:p>
    <w:p w:rsidR="009A19FD" w:rsidRPr="002E257C" w:rsidRDefault="009A19FD" w:rsidP="009A19FD">
      <w:pPr>
        <w:ind w:firstLine="720"/>
        <w:rPr>
          <w:rFonts w:ascii="仿宋" w:eastAsia="仿宋" w:hAnsi="仿宋"/>
          <w:sz w:val="32"/>
          <w:szCs w:val="32"/>
        </w:rPr>
      </w:pPr>
      <w:r>
        <w:rPr>
          <w:rFonts w:ascii="仿宋" w:eastAsia="仿宋" w:hAnsi="仿宋" w:hint="eastAsia"/>
          <w:sz w:val="32"/>
          <w:szCs w:val="32"/>
        </w:rPr>
        <w:t>4.</w:t>
      </w:r>
      <w:r w:rsidRPr="002E257C">
        <w:rPr>
          <w:rFonts w:ascii="仿宋" w:eastAsia="仿宋" w:hAnsi="仿宋" w:hint="eastAsia"/>
          <w:sz w:val="32"/>
          <w:szCs w:val="32"/>
        </w:rPr>
        <w:t>受改制影响，当事人诉求有历史积淀因素，有的超出人民法院审理范围，有的劳动者还有上访经历。如崔恩丽提审重审案，赵小利、张凤林与湾沟林区医院案，付延德与三岔子林业局案，湾沟林业局与邱万斌案，于瑞凤与湾沟林业局案。</w:t>
      </w:r>
    </w:p>
    <w:p w:rsidR="009A19FD" w:rsidRPr="002E257C" w:rsidRDefault="009A19FD" w:rsidP="009A19FD">
      <w:pPr>
        <w:ind w:firstLine="720"/>
        <w:rPr>
          <w:rFonts w:ascii="仿宋" w:eastAsia="仿宋" w:hAnsi="仿宋"/>
          <w:sz w:val="32"/>
          <w:szCs w:val="32"/>
        </w:rPr>
      </w:pPr>
      <w:r>
        <w:rPr>
          <w:rFonts w:ascii="仿宋" w:eastAsia="仿宋" w:hAnsi="仿宋" w:hint="eastAsia"/>
          <w:sz w:val="32"/>
          <w:szCs w:val="32"/>
        </w:rPr>
        <w:t>5.</w:t>
      </w:r>
      <w:r w:rsidRPr="002E257C">
        <w:rPr>
          <w:rFonts w:ascii="仿宋" w:eastAsia="仿宋" w:hAnsi="仿宋" w:hint="eastAsia"/>
          <w:sz w:val="32"/>
          <w:szCs w:val="32"/>
        </w:rPr>
        <w:t>用工过程不签署书面合同，导致用工性质界限不清晰，审理难度加大。如事实劳动关系、雇佣（劳务）关系、承揽关系的区分与界定。</w:t>
      </w:r>
    </w:p>
    <w:p w:rsidR="009A19FD" w:rsidRPr="00012E53" w:rsidRDefault="009A19FD" w:rsidP="009A19FD">
      <w:pPr>
        <w:ind w:firstLineChars="200" w:firstLine="640"/>
        <w:jc w:val="left"/>
        <w:rPr>
          <w:rFonts w:ascii="仿宋" w:eastAsia="仿宋" w:hAnsi="仿宋"/>
          <w:b/>
          <w:sz w:val="32"/>
          <w:szCs w:val="32"/>
        </w:rPr>
      </w:pPr>
      <w:r>
        <w:rPr>
          <w:rFonts w:ascii="仿宋" w:eastAsia="仿宋" w:hAnsi="仿宋" w:hint="eastAsia"/>
          <w:sz w:val="32"/>
          <w:szCs w:val="32"/>
        </w:rPr>
        <w:t>6.</w:t>
      </w:r>
      <w:r w:rsidRPr="002E257C">
        <w:rPr>
          <w:rFonts w:ascii="仿宋" w:eastAsia="仿宋" w:hAnsi="仿宋" w:hint="eastAsia"/>
          <w:sz w:val="32"/>
          <w:szCs w:val="32"/>
        </w:rPr>
        <w:t>用人单位为节约经营成本，不按规定给劳动者办理社会保险登记和缴费。社会保险法规定职工应当参加五类社会保险(养老、医疗、工伤、失业、生育)，也就是人们通常所说的“五险”。现在看，辖区内只有国有森工企业给在册在岗的正式职工缴纳“五险一金”，对事实劳动关系群体（临时工）用工管理不够规范，严重损害了劳动者的权益。民营企业也并未规范依法执行劳动法律、法规及政策。如吉林省三林木业有限责任公司分别与历福英、梁金花、崔学雨案。</w:t>
      </w:r>
    </w:p>
    <w:p w:rsidR="009A19FD" w:rsidRPr="00012E53" w:rsidRDefault="009A19FD" w:rsidP="009A19FD">
      <w:pPr>
        <w:rPr>
          <w:rFonts w:ascii="仿宋" w:eastAsia="仿宋" w:hAnsi="仿宋"/>
          <w:b/>
          <w:sz w:val="32"/>
          <w:szCs w:val="32"/>
        </w:rPr>
      </w:pPr>
      <w:r>
        <w:rPr>
          <w:rFonts w:ascii="仿宋" w:eastAsia="仿宋" w:hAnsi="仿宋" w:hint="eastAsia"/>
          <w:b/>
          <w:sz w:val="32"/>
          <w:szCs w:val="32"/>
        </w:rPr>
        <w:t xml:space="preserve">    </w:t>
      </w:r>
      <w:r w:rsidRPr="00AF725A">
        <w:rPr>
          <w:rFonts w:ascii="仿宋" w:eastAsia="仿宋" w:hAnsi="仿宋" w:hint="eastAsia"/>
          <w:sz w:val="32"/>
          <w:szCs w:val="32"/>
        </w:rPr>
        <w:t>三、涉林企业民商案件反映的问题</w:t>
      </w:r>
    </w:p>
    <w:p w:rsidR="009A19FD" w:rsidRDefault="009A19FD" w:rsidP="009A19FD">
      <w:pPr>
        <w:tabs>
          <w:tab w:val="left" w:pos="8280"/>
        </w:tabs>
        <w:ind w:firstLineChars="200" w:firstLine="640"/>
        <w:jc w:val="left"/>
        <w:rPr>
          <w:rFonts w:ascii="仿宋" w:eastAsia="仿宋" w:hAnsi="仿宋"/>
          <w:sz w:val="32"/>
          <w:szCs w:val="32"/>
        </w:rPr>
      </w:pPr>
      <w:r w:rsidRPr="00A32550">
        <w:rPr>
          <w:rFonts w:ascii="仿宋" w:eastAsia="仿宋" w:hAnsi="仿宋" w:hint="eastAsia"/>
          <w:sz w:val="32"/>
          <w:szCs w:val="32"/>
        </w:rPr>
        <w:t>（一）涉林企业在从事生产经营活动过程中存在以下问</w:t>
      </w:r>
      <w:r w:rsidRPr="00A32550">
        <w:rPr>
          <w:rFonts w:ascii="仿宋" w:eastAsia="仿宋" w:hAnsi="仿宋" w:hint="eastAsia"/>
          <w:sz w:val="32"/>
          <w:szCs w:val="32"/>
        </w:rPr>
        <w:lastRenderedPageBreak/>
        <w:t>题：</w:t>
      </w:r>
    </w:p>
    <w:p w:rsidR="009A19FD" w:rsidRPr="00A32550" w:rsidRDefault="009A19FD" w:rsidP="009A19FD">
      <w:pPr>
        <w:tabs>
          <w:tab w:val="left" w:pos="8280"/>
        </w:tabs>
        <w:ind w:firstLineChars="200" w:firstLine="640"/>
        <w:jc w:val="left"/>
        <w:rPr>
          <w:rFonts w:ascii="仿宋" w:eastAsia="仿宋" w:hAnsi="仿宋"/>
          <w:sz w:val="32"/>
          <w:szCs w:val="32"/>
        </w:rPr>
      </w:pPr>
      <w:r>
        <w:rPr>
          <w:rFonts w:ascii="仿宋" w:eastAsia="仿宋" w:hAnsi="仿宋" w:hint="eastAsia"/>
          <w:sz w:val="32"/>
          <w:szCs w:val="32"/>
        </w:rPr>
        <w:t>1.</w:t>
      </w:r>
      <w:r w:rsidRPr="00A32550">
        <w:rPr>
          <w:rFonts w:ascii="仿宋" w:eastAsia="仿宋" w:hAnsi="仿宋" w:hint="eastAsia"/>
          <w:sz w:val="32"/>
          <w:szCs w:val="32"/>
        </w:rPr>
        <w:t>涉林企业在从事生产经营活动中存在安全生产意识薄弱问题,如原告高XX 与被告XX涉林局侵权责任纠纷案，被告单位在往高XX车上吊装圆木作业过程中，一根原木从车上脱落，将在作业现场的高XX砸伤。企业的安全生产管理水平仍须进一步强化，企业员工的安全生产意识急需进一步强化。</w:t>
      </w:r>
    </w:p>
    <w:p w:rsidR="009A19FD" w:rsidRPr="00A32550" w:rsidRDefault="009A19FD" w:rsidP="009A19FD">
      <w:pPr>
        <w:tabs>
          <w:tab w:val="left" w:pos="8280"/>
        </w:tabs>
        <w:ind w:firstLineChars="200" w:firstLine="640"/>
        <w:jc w:val="left"/>
        <w:rPr>
          <w:rFonts w:ascii="仿宋" w:eastAsia="仿宋" w:hAnsi="仿宋"/>
          <w:sz w:val="32"/>
          <w:szCs w:val="32"/>
        </w:rPr>
      </w:pPr>
      <w:r>
        <w:rPr>
          <w:rFonts w:ascii="仿宋" w:eastAsia="仿宋" w:hAnsi="仿宋" w:hint="eastAsia"/>
          <w:sz w:val="32"/>
          <w:szCs w:val="32"/>
        </w:rPr>
        <w:t>2.</w:t>
      </w:r>
      <w:r w:rsidRPr="00A32550">
        <w:rPr>
          <w:rFonts w:ascii="仿宋" w:eastAsia="仿宋" w:hAnsi="仿宋" w:hint="eastAsia"/>
          <w:sz w:val="32"/>
          <w:szCs w:val="32"/>
        </w:rPr>
        <w:t>涉林企业控股XX医院存在企业改制后，医院受自主经营、自负盈亏的经营体制影响，同时受医院自身医疗技术水平限制，存在对医疗行为风险评估预控不足，偏面追求市场利润空间最大化而忽视人道主义的职业操守。导致医疗行为不规范，造成医疗差错甚至是医疗损害行为的发生，严重地侵害了患者的生命健康权。</w:t>
      </w:r>
    </w:p>
    <w:p w:rsidR="009A19FD" w:rsidRPr="00A32550" w:rsidRDefault="009A19FD" w:rsidP="009A19FD">
      <w:pPr>
        <w:tabs>
          <w:tab w:val="left" w:pos="8280"/>
        </w:tabs>
        <w:ind w:firstLineChars="200" w:firstLine="640"/>
        <w:jc w:val="left"/>
        <w:rPr>
          <w:rFonts w:ascii="仿宋" w:eastAsia="仿宋" w:hAnsi="仿宋"/>
          <w:sz w:val="32"/>
          <w:szCs w:val="32"/>
        </w:rPr>
      </w:pPr>
      <w:r>
        <w:rPr>
          <w:rFonts w:ascii="仿宋" w:eastAsia="仿宋" w:hAnsi="仿宋" w:hint="eastAsia"/>
          <w:sz w:val="32"/>
          <w:szCs w:val="32"/>
        </w:rPr>
        <w:t>3.</w:t>
      </w:r>
      <w:r w:rsidRPr="00A32550">
        <w:rPr>
          <w:rFonts w:ascii="仿宋" w:eastAsia="仿宋" w:hAnsi="仿宋" w:hint="eastAsia"/>
          <w:sz w:val="32"/>
          <w:szCs w:val="32"/>
        </w:rPr>
        <w:t>企业在从事部分企业办社会的具有社会化的服务职能时，对企业的社会化行为缺乏认真研究，对企业的社会化行为疏于管理，致使企业在行使社会化行为管理职能时因疏忽大意侵害第三人合法权益，赔偿第三人损失的结果。</w:t>
      </w:r>
    </w:p>
    <w:p w:rsidR="009A19FD" w:rsidRPr="00A32550" w:rsidRDefault="009A19FD" w:rsidP="009A19FD">
      <w:pPr>
        <w:tabs>
          <w:tab w:val="left" w:pos="8280"/>
        </w:tabs>
        <w:ind w:firstLineChars="200" w:firstLine="640"/>
        <w:jc w:val="left"/>
        <w:rPr>
          <w:rFonts w:ascii="仿宋" w:eastAsia="仿宋" w:hAnsi="仿宋"/>
          <w:sz w:val="32"/>
          <w:szCs w:val="32"/>
        </w:rPr>
      </w:pPr>
      <w:r>
        <w:rPr>
          <w:rFonts w:ascii="仿宋" w:eastAsia="仿宋" w:hAnsi="仿宋" w:hint="eastAsia"/>
          <w:sz w:val="32"/>
          <w:szCs w:val="32"/>
        </w:rPr>
        <w:t>4.</w:t>
      </w:r>
      <w:r w:rsidRPr="00A32550">
        <w:rPr>
          <w:rFonts w:ascii="仿宋" w:eastAsia="仿宋" w:hAnsi="仿宋" w:hint="eastAsia"/>
          <w:sz w:val="32"/>
          <w:szCs w:val="32"/>
        </w:rPr>
        <w:t>涉林企业的发包行为急待依法进行规范。</w:t>
      </w:r>
    </w:p>
    <w:p w:rsidR="009A19FD" w:rsidRPr="00A32550" w:rsidRDefault="009A19FD" w:rsidP="009A19FD">
      <w:pPr>
        <w:tabs>
          <w:tab w:val="left" w:pos="8280"/>
        </w:tabs>
        <w:ind w:firstLineChars="200" w:firstLine="640"/>
        <w:jc w:val="left"/>
        <w:rPr>
          <w:rFonts w:ascii="仿宋" w:eastAsia="仿宋" w:hAnsi="仿宋"/>
          <w:sz w:val="32"/>
          <w:szCs w:val="32"/>
        </w:rPr>
      </w:pPr>
      <w:r w:rsidRPr="00A32550">
        <w:rPr>
          <w:rFonts w:ascii="仿宋" w:eastAsia="仿宋" w:hAnsi="仿宋" w:hint="eastAsia"/>
          <w:sz w:val="32"/>
          <w:szCs w:val="32"/>
        </w:rPr>
        <w:t>通过对涉涉林企业因承包合同产生的侵权纠纷案件的审理，发现涉林企业在依法发包时存在对发包林地区域范围四至确定不清，有的是发包林班之间界限不清楚明确；有的是国有林地和地方林地之间权属存在争议的问题；有的是承</w:t>
      </w:r>
      <w:r w:rsidRPr="00A32550">
        <w:rPr>
          <w:rFonts w:ascii="仿宋" w:eastAsia="仿宋" w:hAnsi="仿宋" w:hint="eastAsia"/>
          <w:sz w:val="32"/>
          <w:szCs w:val="32"/>
        </w:rPr>
        <w:lastRenderedPageBreak/>
        <w:t>包经营林地与国有林班之间存在区域四至不明晰的问题，以上问题的存在导致林地承包人在行使承包经营合同时因经营区域四至不明确，承包人之间发生经营面积和经营区域争议纠纷，导致法院为查清案件事实，只能追加涉林企业作为第三人参加诉讼，若经法院审查认为，承包人侵权行为是由于涉林企业发包行为导致的，涉林企业需作为无独立请求权的第三人依法承担民事责任。其结果会导致侵害涉林承包经营者的合法经营权，扰乱涉林企业多种经营活动的有序运行，造成国有资产的流失的严重后果。</w:t>
      </w:r>
    </w:p>
    <w:p w:rsidR="009A19FD" w:rsidRPr="00A32550" w:rsidRDefault="009A19FD" w:rsidP="009A19FD">
      <w:pPr>
        <w:ind w:firstLineChars="200" w:firstLine="640"/>
        <w:rPr>
          <w:rFonts w:ascii="仿宋" w:eastAsia="仿宋" w:hAnsi="仿宋"/>
          <w:sz w:val="32"/>
          <w:szCs w:val="32"/>
        </w:rPr>
      </w:pPr>
      <w:r>
        <w:rPr>
          <w:rFonts w:ascii="仿宋" w:eastAsia="仿宋" w:hAnsi="仿宋" w:hint="eastAsia"/>
          <w:sz w:val="32"/>
          <w:szCs w:val="32"/>
        </w:rPr>
        <w:t>（二）</w:t>
      </w:r>
      <w:r w:rsidRPr="00A32550">
        <w:rPr>
          <w:rFonts w:ascii="仿宋" w:eastAsia="仿宋" w:hAnsi="仿宋" w:hint="eastAsia"/>
          <w:sz w:val="32"/>
          <w:szCs w:val="32"/>
        </w:rPr>
        <w:t>涉林企业在</w:t>
      </w:r>
      <w:r>
        <w:rPr>
          <w:rFonts w:ascii="仿宋" w:eastAsia="仿宋" w:hAnsi="仿宋" w:hint="eastAsia"/>
          <w:sz w:val="32"/>
          <w:szCs w:val="32"/>
        </w:rPr>
        <w:t>发包涉林承包经营合同</w:t>
      </w:r>
      <w:r w:rsidRPr="00A32550">
        <w:rPr>
          <w:rFonts w:ascii="仿宋" w:eastAsia="仿宋" w:hAnsi="仿宋" w:hint="eastAsia"/>
          <w:sz w:val="32"/>
          <w:szCs w:val="32"/>
        </w:rPr>
        <w:t>过程中存在以下问题：</w:t>
      </w:r>
    </w:p>
    <w:p w:rsidR="009A19FD" w:rsidRPr="00A32550" w:rsidRDefault="009A19FD" w:rsidP="009A19FD">
      <w:pPr>
        <w:ind w:firstLineChars="200" w:firstLine="640"/>
        <w:rPr>
          <w:rFonts w:ascii="仿宋" w:eastAsia="仿宋" w:hAnsi="仿宋"/>
          <w:sz w:val="32"/>
          <w:szCs w:val="32"/>
        </w:rPr>
      </w:pPr>
      <w:r>
        <w:rPr>
          <w:rFonts w:ascii="仿宋" w:eastAsia="仿宋" w:hAnsi="仿宋" w:hint="eastAsia"/>
          <w:sz w:val="32"/>
          <w:szCs w:val="32"/>
        </w:rPr>
        <w:t>1.</w:t>
      </w:r>
      <w:r w:rsidRPr="00A32550">
        <w:rPr>
          <w:rFonts w:ascii="仿宋" w:eastAsia="仿宋" w:hAnsi="仿宋" w:hint="eastAsia"/>
          <w:sz w:val="32"/>
          <w:szCs w:val="32"/>
        </w:rPr>
        <w:t>涉林企业签订合同的主体资格急待统一规范，从签订合同的主体分析，涉林企业是一个独立的法人单位，而涉林企业下属各基层单位均没有领取营业执照，依法不属于民事诉讼法所规定的其他组织，因此依法不能作为独立的民事诉讼主体参加诉讼活动，若涉林企业下属各基层单位因签订合同行为与第三人产生纠纷，法院必将通知涉林企业作为法人参加诉讼，但涉林企业因为没有参与下属基层单位与第三人签订合同的行为，对下属各基层单位签订合同的情况不</w:t>
      </w:r>
      <w:r>
        <w:rPr>
          <w:rFonts w:ascii="仿宋" w:eastAsia="仿宋" w:hAnsi="仿宋" w:hint="eastAsia"/>
          <w:sz w:val="32"/>
          <w:szCs w:val="32"/>
        </w:rPr>
        <w:t>够</w:t>
      </w:r>
      <w:r w:rsidRPr="00A32550">
        <w:rPr>
          <w:rFonts w:ascii="仿宋" w:eastAsia="仿宋" w:hAnsi="仿宋" w:hint="eastAsia"/>
          <w:sz w:val="32"/>
          <w:szCs w:val="32"/>
        </w:rPr>
        <w:t>了解，对产生纠纷的过程不</w:t>
      </w:r>
      <w:r>
        <w:rPr>
          <w:rFonts w:ascii="仿宋" w:eastAsia="仿宋" w:hAnsi="仿宋" w:hint="eastAsia"/>
          <w:sz w:val="32"/>
          <w:szCs w:val="32"/>
        </w:rPr>
        <w:t>够</w:t>
      </w:r>
      <w:r w:rsidRPr="00A32550">
        <w:rPr>
          <w:rFonts w:ascii="仿宋" w:eastAsia="仿宋" w:hAnsi="仿宋" w:hint="eastAsia"/>
          <w:sz w:val="32"/>
          <w:szCs w:val="32"/>
        </w:rPr>
        <w:t>了解，必将导致涉林企业向法院提交证据不充分、不具体、不全面，证据与案件事实关联性不强，甚至有可能导致不能承担举证责任，诉讼请求得不到</w:t>
      </w:r>
      <w:r w:rsidRPr="00A32550">
        <w:rPr>
          <w:rFonts w:ascii="仿宋" w:eastAsia="仿宋" w:hAnsi="仿宋" w:hint="eastAsia"/>
          <w:sz w:val="32"/>
          <w:szCs w:val="32"/>
        </w:rPr>
        <w:lastRenderedPageBreak/>
        <w:t>法院支持的败诉后果，而且也不利于企业对国有资产依法行使管理权。因此建议涉林企业应该设立专门的部门统一对外以涉林企业的名义签订合同，对企业下属基层单位对外签订合同的行为明令禁止，对涉及下属各基层单位对外发包承包经营林班的行为进行监督管理，对所签订合同进行建档存查。对企业发包的林班逐一进行登记备案。</w:t>
      </w:r>
    </w:p>
    <w:p w:rsidR="009A19FD" w:rsidRDefault="009A19FD" w:rsidP="009A19FD">
      <w:pPr>
        <w:ind w:firstLineChars="200" w:firstLine="640"/>
        <w:rPr>
          <w:rFonts w:ascii="仿宋" w:eastAsia="仿宋" w:hAnsi="仿宋"/>
          <w:sz w:val="32"/>
          <w:szCs w:val="32"/>
        </w:rPr>
      </w:pPr>
      <w:r>
        <w:rPr>
          <w:rFonts w:ascii="仿宋" w:eastAsia="仿宋" w:hAnsi="仿宋" w:hint="eastAsia"/>
          <w:sz w:val="32"/>
          <w:szCs w:val="32"/>
        </w:rPr>
        <w:t>2.</w:t>
      </w:r>
      <w:r w:rsidRPr="00A32550">
        <w:rPr>
          <w:rFonts w:ascii="仿宋" w:eastAsia="仿宋" w:hAnsi="仿宋" w:hint="eastAsia"/>
          <w:sz w:val="32"/>
          <w:szCs w:val="32"/>
        </w:rPr>
        <w:t>对所发包合同的权利义务内容没有认真审查研究，导致合同发包后因对权利义务内容约定不清楚，不明确，从而导致合同不能如约履行承担违约责任的法律后果。如林地承包经营合同中因对发包林地区域四至界定不清，致使合同履行过程中因承包经营区域边界问题产生争议而诉诸法律的问题；</w:t>
      </w:r>
    </w:p>
    <w:p w:rsidR="009A19FD" w:rsidRPr="00A32550" w:rsidRDefault="009A19FD" w:rsidP="009A19FD">
      <w:pPr>
        <w:ind w:firstLineChars="200" w:firstLine="640"/>
        <w:rPr>
          <w:rFonts w:ascii="仿宋" w:eastAsia="仿宋" w:hAnsi="仿宋"/>
          <w:sz w:val="32"/>
          <w:szCs w:val="32"/>
        </w:rPr>
      </w:pPr>
      <w:r>
        <w:rPr>
          <w:rFonts w:ascii="仿宋" w:eastAsia="仿宋" w:hAnsi="仿宋" w:hint="eastAsia"/>
          <w:sz w:val="32"/>
          <w:szCs w:val="32"/>
        </w:rPr>
        <w:t>3.</w:t>
      </w:r>
      <w:r w:rsidRPr="00A32550">
        <w:rPr>
          <w:rFonts w:ascii="仿宋" w:eastAsia="仿宋" w:hAnsi="仿宋" w:hint="eastAsia"/>
          <w:sz w:val="32"/>
          <w:szCs w:val="32"/>
        </w:rPr>
        <w:t>对所发包的林地没有进行依法收回就又与第三人签订了涉林承包合同，导致合同事实上履行不能的问题；</w:t>
      </w:r>
    </w:p>
    <w:p w:rsidR="009A19FD" w:rsidRPr="00A32550" w:rsidRDefault="009A19FD" w:rsidP="009A19FD">
      <w:pPr>
        <w:ind w:firstLineChars="200" w:firstLine="640"/>
        <w:rPr>
          <w:rFonts w:ascii="仿宋" w:eastAsia="仿宋" w:hAnsi="仿宋"/>
          <w:sz w:val="32"/>
          <w:szCs w:val="32"/>
        </w:rPr>
      </w:pPr>
      <w:r>
        <w:rPr>
          <w:rFonts w:ascii="仿宋" w:eastAsia="仿宋" w:hAnsi="仿宋" w:hint="eastAsia"/>
          <w:sz w:val="32"/>
          <w:szCs w:val="32"/>
        </w:rPr>
        <w:t>4.</w:t>
      </w:r>
      <w:r w:rsidRPr="00A32550">
        <w:rPr>
          <w:rFonts w:ascii="仿宋" w:eastAsia="仿宋" w:hAnsi="仿宋" w:hint="eastAsia"/>
          <w:sz w:val="32"/>
          <w:szCs w:val="32"/>
        </w:rPr>
        <w:t>对发包合同污染环境风险评估预测不足的问题 ，如企业将林地发包给个体户养猪，后来企业又把位于猪场的下游的区域发包给第三方建水场，最后导致和养猪场协商解除合同，赔偿损失后让其搬迁的问题；</w:t>
      </w:r>
    </w:p>
    <w:p w:rsidR="009A19FD" w:rsidRPr="00A32550" w:rsidRDefault="009A19FD" w:rsidP="009A19FD">
      <w:pPr>
        <w:ind w:firstLineChars="200" w:firstLine="640"/>
        <w:rPr>
          <w:rFonts w:ascii="仿宋" w:eastAsia="仿宋" w:hAnsi="仿宋"/>
          <w:sz w:val="32"/>
          <w:szCs w:val="32"/>
        </w:rPr>
      </w:pPr>
      <w:r>
        <w:rPr>
          <w:rFonts w:ascii="仿宋" w:eastAsia="仿宋" w:hAnsi="仿宋" w:hint="eastAsia"/>
          <w:sz w:val="32"/>
          <w:szCs w:val="32"/>
        </w:rPr>
        <w:t>5.</w:t>
      </w:r>
      <w:r w:rsidRPr="00A32550">
        <w:rPr>
          <w:rFonts w:ascii="仿宋" w:eastAsia="仿宋" w:hAnsi="仿宋" w:hint="eastAsia"/>
          <w:sz w:val="32"/>
          <w:szCs w:val="32"/>
        </w:rPr>
        <w:t>对转让合同的审批不规范导致承包者未依法转让合同，最后由涉林企业赔偿第三方损失的问题；</w:t>
      </w:r>
    </w:p>
    <w:p w:rsidR="009A19FD" w:rsidRPr="00A32550" w:rsidRDefault="009A19FD" w:rsidP="009A19FD">
      <w:pPr>
        <w:ind w:firstLineChars="200" w:firstLine="640"/>
        <w:rPr>
          <w:rFonts w:ascii="仿宋" w:eastAsia="仿宋" w:hAnsi="仿宋"/>
          <w:sz w:val="32"/>
          <w:szCs w:val="32"/>
        </w:rPr>
      </w:pPr>
      <w:r>
        <w:rPr>
          <w:rFonts w:ascii="仿宋" w:eastAsia="仿宋" w:hAnsi="仿宋" w:hint="eastAsia"/>
          <w:sz w:val="32"/>
          <w:szCs w:val="32"/>
        </w:rPr>
        <w:t>6.</w:t>
      </w:r>
      <w:r w:rsidRPr="00A32550">
        <w:rPr>
          <w:rFonts w:ascii="仿宋" w:eastAsia="仿宋" w:hAnsi="仿宋" w:hint="eastAsia"/>
          <w:sz w:val="32"/>
          <w:szCs w:val="32"/>
        </w:rPr>
        <w:t>发包企业与承包人存在恶意磋商签订书面承包经营面积少，而实际占用林地面积大，损害企业利益的行为；</w:t>
      </w:r>
    </w:p>
    <w:p w:rsidR="009A19FD" w:rsidRDefault="009A19FD" w:rsidP="009A19FD">
      <w:pPr>
        <w:ind w:firstLineChars="200" w:firstLine="640"/>
        <w:rPr>
          <w:rFonts w:ascii="仿宋" w:eastAsia="仿宋" w:hAnsi="仿宋"/>
          <w:sz w:val="32"/>
          <w:szCs w:val="32"/>
        </w:rPr>
      </w:pPr>
      <w:r>
        <w:rPr>
          <w:rFonts w:ascii="仿宋" w:eastAsia="仿宋" w:hAnsi="仿宋" w:hint="eastAsia"/>
          <w:sz w:val="32"/>
          <w:szCs w:val="32"/>
        </w:rPr>
        <w:lastRenderedPageBreak/>
        <w:t>7.</w:t>
      </w:r>
      <w:r w:rsidRPr="00A32550">
        <w:rPr>
          <w:rFonts w:ascii="仿宋" w:eastAsia="仿宋" w:hAnsi="仿宋" w:hint="eastAsia"/>
          <w:sz w:val="32"/>
          <w:szCs w:val="32"/>
        </w:rPr>
        <w:t>还有涉林企业在履行合同义务过程中未与合同相对方当事人协商便擅自变更合同的权利义务，导致因履行合同义务不符合约定而承担违约责任的问题。</w:t>
      </w:r>
    </w:p>
    <w:p w:rsidR="009A19FD" w:rsidRPr="00012E53" w:rsidRDefault="009A19FD" w:rsidP="009A19FD">
      <w:pPr>
        <w:ind w:firstLineChars="200" w:firstLine="640"/>
        <w:rPr>
          <w:rFonts w:ascii="仿宋" w:eastAsia="仿宋" w:hAnsi="仿宋"/>
          <w:sz w:val="32"/>
          <w:szCs w:val="32"/>
        </w:rPr>
      </w:pPr>
      <w:r>
        <w:rPr>
          <w:rFonts w:ascii="仿宋" w:eastAsia="仿宋" w:hAnsi="仿宋" w:hint="eastAsia"/>
          <w:sz w:val="32"/>
          <w:szCs w:val="32"/>
        </w:rPr>
        <w:t>四、</w:t>
      </w:r>
      <w:r w:rsidRPr="00012E53">
        <w:rPr>
          <w:rFonts w:ascii="仿宋" w:eastAsia="仿宋" w:hAnsi="仿宋" w:hint="eastAsia"/>
          <w:sz w:val="32"/>
          <w:szCs w:val="32"/>
        </w:rPr>
        <w:t>审判实践中的</w:t>
      </w:r>
      <w:r>
        <w:rPr>
          <w:rFonts w:ascii="仿宋" w:eastAsia="仿宋" w:hAnsi="仿宋" w:hint="eastAsia"/>
          <w:sz w:val="32"/>
          <w:szCs w:val="32"/>
        </w:rPr>
        <w:t>面临的</w:t>
      </w:r>
      <w:r w:rsidRPr="00012E53">
        <w:rPr>
          <w:rFonts w:ascii="仿宋" w:eastAsia="仿宋" w:hAnsi="仿宋" w:hint="eastAsia"/>
          <w:sz w:val="32"/>
          <w:szCs w:val="32"/>
        </w:rPr>
        <w:t>疑难问题</w:t>
      </w:r>
    </w:p>
    <w:p w:rsidR="009A19FD" w:rsidRPr="006B69EA" w:rsidRDefault="009A19FD" w:rsidP="009A19FD">
      <w:pPr>
        <w:widowControl/>
        <w:ind w:right="75"/>
        <w:jc w:val="left"/>
        <w:rPr>
          <w:rFonts w:ascii="仿宋" w:eastAsia="仿宋" w:hAnsi="仿宋" w:cs="宋体"/>
          <w:color w:val="333333"/>
          <w:kern w:val="0"/>
          <w:sz w:val="32"/>
          <w:szCs w:val="32"/>
          <w:shd w:val="clear" w:color="auto" w:fill="FFFFFF"/>
        </w:rPr>
      </w:pPr>
      <w:r w:rsidRPr="00012E53">
        <w:rPr>
          <w:rFonts w:ascii="仿宋" w:eastAsia="仿宋" w:hAnsi="仿宋" w:cs="宋体" w:hint="eastAsia"/>
          <w:color w:val="333333"/>
          <w:kern w:val="0"/>
          <w:sz w:val="32"/>
          <w:szCs w:val="32"/>
          <w:shd w:val="clear" w:color="auto" w:fill="FFFFFF"/>
        </w:rPr>
        <w:t xml:space="preserve">　</w:t>
      </w:r>
      <w:r>
        <w:rPr>
          <w:rFonts w:ascii="仿宋" w:eastAsia="仿宋" w:hAnsi="仿宋" w:cs="宋体" w:hint="eastAsia"/>
          <w:color w:val="333333"/>
          <w:kern w:val="0"/>
          <w:sz w:val="32"/>
          <w:szCs w:val="32"/>
          <w:shd w:val="clear" w:color="auto" w:fill="FFFFFF"/>
        </w:rPr>
        <w:t xml:space="preserve">  </w:t>
      </w:r>
      <w:r w:rsidRPr="00012E53">
        <w:rPr>
          <w:rFonts w:ascii="仿宋" w:eastAsia="仿宋" w:hAnsi="仿宋" w:cs="宋体" w:hint="eastAsia"/>
          <w:color w:val="333333"/>
          <w:kern w:val="0"/>
          <w:sz w:val="32"/>
          <w:szCs w:val="32"/>
          <w:shd w:val="clear" w:color="auto" w:fill="FFFFFF"/>
        </w:rPr>
        <w:t>目前我院在审理涉林企业纠纷案件中遇到的主要疑难问题具体表现在：</w:t>
      </w:r>
    </w:p>
    <w:p w:rsidR="009A19FD" w:rsidRPr="007E7BAD" w:rsidRDefault="009A19FD" w:rsidP="009A19FD">
      <w:pPr>
        <w:ind w:firstLineChars="250" w:firstLine="800"/>
        <w:rPr>
          <w:rFonts w:ascii="仿宋" w:eastAsia="仿宋" w:hAnsi="仿宋"/>
          <w:sz w:val="32"/>
          <w:szCs w:val="32"/>
        </w:rPr>
      </w:pPr>
      <w:r w:rsidRPr="007E7BAD">
        <w:rPr>
          <w:rFonts w:ascii="仿宋" w:eastAsia="仿宋" w:hAnsi="仿宋"/>
          <w:sz w:val="32"/>
          <w:szCs w:val="32"/>
        </w:rPr>
        <w:t>1.</w:t>
      </w:r>
      <w:r w:rsidRPr="007E7BAD">
        <w:rPr>
          <w:rFonts w:ascii="仿宋" w:eastAsia="仿宋" w:hAnsi="仿宋" w:hint="eastAsia"/>
          <w:sz w:val="32"/>
          <w:szCs w:val="32"/>
        </w:rPr>
        <w:t>林区观念与审判理念的冲突制约林区经济社会发展。林区辖区内的两个国有森工企业是在计划经济的基础上发展起来的，近四十年的计划经济发展，形成了一种习惯，一种惯性，虽然本世纪国有企业进行了改制、改革，但在很多人观念中，限采停伐后，国家会在经济、社会政策方面给予国有森工企业照顾，形成等、靠、要的观念心态，缺少市场经济积极作为的观念和意识。在司法审判过程中，则表现为以权压法，以访压法，以国有资产流失来胁迫审判等现象。</w:t>
      </w:r>
    </w:p>
    <w:p w:rsidR="009A19FD" w:rsidRPr="007E7BAD" w:rsidRDefault="009A19FD" w:rsidP="009A19FD">
      <w:pPr>
        <w:ind w:firstLineChars="250" w:firstLine="800"/>
        <w:rPr>
          <w:rFonts w:ascii="仿宋" w:eastAsia="仿宋" w:hAnsi="仿宋"/>
          <w:sz w:val="32"/>
          <w:szCs w:val="32"/>
        </w:rPr>
      </w:pPr>
      <w:r w:rsidRPr="007E7BAD">
        <w:rPr>
          <w:rFonts w:ascii="仿宋" w:eastAsia="仿宋" w:hAnsi="仿宋"/>
          <w:sz w:val="32"/>
          <w:szCs w:val="32"/>
        </w:rPr>
        <w:t>2.</w:t>
      </w:r>
      <w:r w:rsidRPr="007E7BAD">
        <w:rPr>
          <w:rFonts w:ascii="仿宋" w:eastAsia="仿宋" w:hAnsi="仿宋" w:hint="eastAsia"/>
          <w:sz w:val="32"/>
          <w:szCs w:val="32"/>
        </w:rPr>
        <w:t>司法能力与林区经济社会不相适应，制约森工企业发展。司法审判与林区经济社会发展不相适应。在审判实践中，一方面，林区涉企民商事纠纷案件类型相对单一，与经济社会发展相对应的疑难复杂案件较少，另一方面，林区法院审判人员基础能力无论是业务能力、实践经验、还是审判观念与地方法院相比差距很大。一些新类型案件，特别是一些新发展出现的民商事纠纷案件，林区法院的司法审判能力还不能适应。审判观念、理念需要向地方先进法院借鉴和学</w:t>
      </w:r>
      <w:r w:rsidRPr="007E7BAD">
        <w:rPr>
          <w:rFonts w:ascii="仿宋" w:eastAsia="仿宋" w:hAnsi="仿宋" w:hint="eastAsia"/>
          <w:sz w:val="32"/>
          <w:szCs w:val="32"/>
        </w:rPr>
        <w:lastRenderedPageBreak/>
        <w:t>习，这需要时间和过程。</w:t>
      </w:r>
    </w:p>
    <w:p w:rsidR="009A19FD" w:rsidRPr="007E7BAD" w:rsidRDefault="009A19FD" w:rsidP="009A19FD">
      <w:pPr>
        <w:ind w:firstLineChars="250" w:firstLine="800"/>
        <w:rPr>
          <w:rFonts w:ascii="仿宋" w:eastAsia="仿宋" w:hAnsi="仿宋"/>
          <w:sz w:val="32"/>
          <w:szCs w:val="32"/>
        </w:rPr>
      </w:pPr>
      <w:r w:rsidRPr="007E7BAD">
        <w:rPr>
          <w:rFonts w:ascii="仿宋" w:eastAsia="仿宋" w:hAnsi="仿宋"/>
          <w:sz w:val="32"/>
          <w:szCs w:val="32"/>
        </w:rPr>
        <w:t>3.</w:t>
      </w:r>
      <w:r w:rsidRPr="007E7BAD">
        <w:rPr>
          <w:rFonts w:ascii="仿宋" w:eastAsia="仿宋" w:hAnsi="仿宋" w:hint="eastAsia"/>
          <w:sz w:val="32"/>
          <w:szCs w:val="32"/>
        </w:rPr>
        <w:t>诚信体系缺失制约林区经济社会和谐振健康有序发展，影响全局。诚信是立国之本。一个社会的诚信缺失必然限制经济社会的发展。表现在司法审判中，一方面，虚假诉讼、不诚信诉讼行为屡屡出现，另一方面，审判对于不诚信诉讼行为的默认和纵容。</w:t>
      </w:r>
    </w:p>
    <w:p w:rsidR="009A19FD" w:rsidRPr="00012E53" w:rsidRDefault="009A19FD" w:rsidP="009A19FD">
      <w:pPr>
        <w:ind w:firstLineChars="200" w:firstLine="640"/>
        <w:rPr>
          <w:rFonts w:ascii="仿宋" w:eastAsia="仿宋" w:hAnsi="仿宋"/>
          <w:sz w:val="32"/>
          <w:szCs w:val="32"/>
        </w:rPr>
      </w:pPr>
      <w:r>
        <w:rPr>
          <w:rFonts w:ascii="仿宋" w:eastAsia="仿宋" w:hAnsi="仿宋" w:hint="eastAsia"/>
          <w:sz w:val="32"/>
          <w:szCs w:val="32"/>
        </w:rPr>
        <w:t>五、</w:t>
      </w:r>
      <w:r w:rsidRPr="00012E53">
        <w:rPr>
          <w:rFonts w:ascii="仿宋" w:eastAsia="仿宋" w:hAnsi="仿宋" w:hint="eastAsia"/>
          <w:sz w:val="32"/>
          <w:szCs w:val="32"/>
        </w:rPr>
        <w:t>案件发展趋势</w:t>
      </w:r>
    </w:p>
    <w:p w:rsidR="009A19FD" w:rsidRPr="00012E53" w:rsidRDefault="009A19FD" w:rsidP="009A19FD">
      <w:pPr>
        <w:ind w:firstLineChars="200" w:firstLine="640"/>
        <w:rPr>
          <w:rFonts w:ascii="仿宋" w:eastAsia="仿宋" w:hAnsi="仿宋"/>
          <w:sz w:val="32"/>
          <w:szCs w:val="32"/>
        </w:rPr>
      </w:pPr>
      <w:r w:rsidRPr="00012E53">
        <w:rPr>
          <w:rFonts w:ascii="仿宋" w:eastAsia="仿宋" w:hAnsi="仿宋" w:hint="eastAsia"/>
          <w:sz w:val="32"/>
          <w:szCs w:val="32"/>
        </w:rPr>
        <w:t>（一）各类劳动、人事争议案件在一定时期内将大幅涌现。受国家层面生态建设战略</w:t>
      </w:r>
      <w:r>
        <w:rPr>
          <w:rFonts w:ascii="仿宋" w:eastAsia="仿宋" w:hAnsi="仿宋" w:hint="eastAsia"/>
          <w:sz w:val="32"/>
          <w:szCs w:val="32"/>
        </w:rPr>
        <w:t>进程</w:t>
      </w:r>
      <w:r w:rsidRPr="00012E53">
        <w:rPr>
          <w:rFonts w:ascii="仿宋" w:eastAsia="仿宋" w:hAnsi="仿宋" w:hint="eastAsia"/>
          <w:sz w:val="32"/>
          <w:szCs w:val="32"/>
        </w:rPr>
        <w:t>的逐步实施，过度采伐已成为历史，</w:t>
      </w:r>
      <w:r>
        <w:rPr>
          <w:rFonts w:ascii="仿宋" w:eastAsia="仿宋" w:hAnsi="仿宋" w:hint="eastAsia"/>
          <w:sz w:val="32"/>
          <w:szCs w:val="32"/>
        </w:rPr>
        <w:t>国有林区已经全面</w:t>
      </w:r>
      <w:r w:rsidRPr="00012E53">
        <w:rPr>
          <w:rFonts w:ascii="仿宋" w:eastAsia="仿宋" w:hAnsi="仿宋" w:hint="eastAsia"/>
          <w:sz w:val="32"/>
          <w:szCs w:val="32"/>
        </w:rPr>
        <w:t>停伐，建设绿水青山，把绿水青山变成金山银山就是当前一个时期的首要任务，这涉及森林工业企业转型改制问题，改制转型的背后，涉及最大的民生问题是产业工人赖以生存的产业模式发生巨大的变革，企业的生存环境发生了改变，企业经营收入遭遇巨大的变化和困境，同时产业工人的收入、社会保障、福利待遇均将收到严重的影响。工人失业、下岗形势严峻。这一系列的社会问题，极易发生信访、上访、诉讼等群体性事件。2015年连续受理的三起劳动合同纠纷只是一个缩影，三名劳动者的背后代表的是一个群体。另外，为谋生，主要劳动力净流出、老人、妇女、儿童等留守群体的局面正在形成。</w:t>
      </w:r>
    </w:p>
    <w:p w:rsidR="009A19FD" w:rsidRPr="00012E53" w:rsidRDefault="009A19FD" w:rsidP="009A19FD">
      <w:pPr>
        <w:ind w:firstLine="660"/>
        <w:rPr>
          <w:rFonts w:ascii="仿宋" w:eastAsia="仿宋" w:hAnsi="仿宋"/>
          <w:sz w:val="32"/>
          <w:szCs w:val="32"/>
        </w:rPr>
      </w:pPr>
      <w:r w:rsidRPr="00012E53">
        <w:rPr>
          <w:rFonts w:ascii="仿宋" w:eastAsia="仿宋" w:hAnsi="仿宋" w:hint="eastAsia"/>
          <w:sz w:val="32"/>
          <w:szCs w:val="32"/>
        </w:rPr>
        <w:t>（二）历史积淀、遗留的问题矛盾正逐渐凸显，多涉群体性。例如，在本世纪初国有森工企业改革、改制政策影响</w:t>
      </w:r>
      <w:r w:rsidRPr="00012E53">
        <w:rPr>
          <w:rFonts w:ascii="仿宋" w:eastAsia="仿宋" w:hAnsi="仿宋" w:hint="eastAsia"/>
          <w:sz w:val="32"/>
          <w:szCs w:val="32"/>
        </w:rPr>
        <w:lastRenderedPageBreak/>
        <w:t>下被一次性安置并解除劳动关系的群体，正面临退休养老和已办理退休养老的人员的养老保险、医疗保险、取暖补贴等具有社会保障性的待遇存在同命不同价的双轨制问题，多次引起集团上访。</w:t>
      </w:r>
    </w:p>
    <w:p w:rsidR="009A19FD" w:rsidRDefault="009A19FD" w:rsidP="009A19FD">
      <w:pPr>
        <w:ind w:firstLineChars="200" w:firstLine="640"/>
        <w:rPr>
          <w:rFonts w:ascii="仿宋" w:eastAsia="仿宋" w:hAnsi="仿宋"/>
          <w:sz w:val="32"/>
          <w:szCs w:val="32"/>
        </w:rPr>
      </w:pPr>
      <w:r w:rsidRPr="00012E53">
        <w:rPr>
          <w:rFonts w:ascii="仿宋" w:eastAsia="仿宋" w:hAnsi="仿宋" w:hint="eastAsia"/>
          <w:sz w:val="32"/>
          <w:szCs w:val="32"/>
        </w:rPr>
        <w:t>（三）</w:t>
      </w:r>
      <w:r>
        <w:rPr>
          <w:rFonts w:ascii="仿宋" w:eastAsia="仿宋" w:hAnsi="仿宋" w:hint="eastAsia"/>
          <w:sz w:val="32"/>
          <w:szCs w:val="32"/>
        </w:rPr>
        <w:t>流通领域</w:t>
      </w:r>
      <w:r w:rsidRPr="00012E53">
        <w:rPr>
          <w:rFonts w:ascii="仿宋" w:eastAsia="仿宋" w:hAnsi="仿宋" w:hint="eastAsia"/>
          <w:sz w:val="32"/>
          <w:szCs w:val="32"/>
        </w:rPr>
        <w:t>的合同纠纷</w:t>
      </w:r>
      <w:r>
        <w:rPr>
          <w:rFonts w:ascii="仿宋" w:eastAsia="仿宋" w:hAnsi="仿宋" w:hint="eastAsia"/>
          <w:sz w:val="32"/>
          <w:szCs w:val="32"/>
        </w:rPr>
        <w:t>逐渐减少，大量的</w:t>
      </w:r>
      <w:r w:rsidRPr="00012E53">
        <w:rPr>
          <w:rFonts w:ascii="仿宋" w:eastAsia="仿宋" w:hAnsi="仿宋" w:hint="eastAsia"/>
          <w:sz w:val="32"/>
          <w:szCs w:val="32"/>
        </w:rPr>
        <w:t>林业承包合同</w:t>
      </w:r>
      <w:r>
        <w:rPr>
          <w:rFonts w:ascii="仿宋" w:eastAsia="仿宋" w:hAnsi="仿宋" w:hint="eastAsia"/>
          <w:sz w:val="32"/>
          <w:szCs w:val="32"/>
        </w:rPr>
        <w:t>纠纷不断涌现</w:t>
      </w:r>
      <w:r w:rsidRPr="00012E53">
        <w:rPr>
          <w:rFonts w:ascii="仿宋" w:eastAsia="仿宋" w:hAnsi="仿宋" w:hint="eastAsia"/>
          <w:sz w:val="32"/>
          <w:szCs w:val="32"/>
        </w:rPr>
        <w:t>。作为生产经营主体的森林工业和木材加工企业主体转型改制后将变为以养护、造林为主业的事业主体，职能的转变，从前的辅业种植、养殖等林地综合开发承包经营模式将获得大力发展空间。因木材生产经营流通领域产生的各类合同纠纷将大量减少并向单一型的林业承包合同纠纷进行转变。</w:t>
      </w:r>
    </w:p>
    <w:p w:rsidR="009A19FD" w:rsidRPr="00012E53" w:rsidRDefault="009A19FD" w:rsidP="009A19FD">
      <w:pPr>
        <w:ind w:firstLineChars="200" w:firstLine="640"/>
        <w:rPr>
          <w:rFonts w:ascii="仿宋" w:eastAsia="仿宋" w:hAnsi="仿宋"/>
          <w:sz w:val="32"/>
          <w:szCs w:val="32"/>
        </w:rPr>
      </w:pPr>
      <w:r>
        <w:rPr>
          <w:rFonts w:ascii="仿宋" w:eastAsia="仿宋" w:hAnsi="仿宋" w:hint="eastAsia"/>
          <w:sz w:val="32"/>
          <w:szCs w:val="32"/>
        </w:rPr>
        <w:t>六、</w:t>
      </w:r>
      <w:r w:rsidRPr="00012E53">
        <w:rPr>
          <w:rFonts w:ascii="仿宋" w:eastAsia="仿宋" w:hAnsi="仿宋" w:hint="eastAsia"/>
          <w:sz w:val="32"/>
          <w:szCs w:val="32"/>
        </w:rPr>
        <w:t>解决问题的思路</w:t>
      </w:r>
      <w:r>
        <w:rPr>
          <w:rFonts w:ascii="仿宋" w:eastAsia="仿宋" w:hAnsi="仿宋" w:hint="eastAsia"/>
          <w:sz w:val="32"/>
          <w:szCs w:val="32"/>
        </w:rPr>
        <w:t>、建议</w:t>
      </w:r>
      <w:r w:rsidRPr="00012E53">
        <w:rPr>
          <w:rFonts w:ascii="仿宋" w:eastAsia="仿宋" w:hAnsi="仿宋" w:hint="eastAsia"/>
          <w:sz w:val="32"/>
          <w:szCs w:val="32"/>
        </w:rPr>
        <w:t>及对策</w:t>
      </w:r>
    </w:p>
    <w:p w:rsidR="009A19FD" w:rsidRPr="004A4E3D" w:rsidRDefault="009A19FD" w:rsidP="009A19FD">
      <w:pPr>
        <w:ind w:firstLineChars="200" w:firstLine="640"/>
        <w:rPr>
          <w:rFonts w:ascii="仿宋" w:eastAsia="仿宋" w:hAnsi="仿宋" w:cs="宋体"/>
          <w:kern w:val="0"/>
          <w:sz w:val="32"/>
          <w:szCs w:val="32"/>
        </w:rPr>
      </w:pPr>
      <w:r w:rsidRPr="00012E53">
        <w:rPr>
          <w:rFonts w:ascii="仿宋" w:eastAsia="仿宋" w:hAnsi="仿宋" w:hint="eastAsia"/>
          <w:sz w:val="32"/>
          <w:szCs w:val="32"/>
        </w:rPr>
        <w:t>涉企纠纷成因复杂，而且部分涉企案件影响面广，尤其是劳动争议案件，往往会导致一系列的连锁反应，因而人民法院在处理涉企业纠纷时，应对个案情况进行深入分析，在保障公平的基础上区别对待，充分发挥司法能动性，统筹兼顾，在合理平衡企业、员工、债权人、社会等各方面利益的基础上实现效益最大化。</w:t>
      </w:r>
      <w:r w:rsidRPr="001B0625">
        <w:rPr>
          <w:rFonts w:ascii="仿宋" w:eastAsia="仿宋" w:hAnsi="仿宋" w:cs="宋体"/>
          <w:kern w:val="0"/>
          <w:sz w:val="32"/>
          <w:szCs w:val="32"/>
        </w:rPr>
        <w:t>妥善审理涉及重点领域的民商事案件。</w:t>
      </w:r>
      <w:r w:rsidRPr="001B0625">
        <w:rPr>
          <w:rFonts w:ascii="仿宋" w:eastAsia="仿宋" w:hAnsi="仿宋" w:hint="eastAsia"/>
          <w:sz w:val="32"/>
          <w:szCs w:val="32"/>
        </w:rPr>
        <w:t>妥善处理涉及</w:t>
      </w:r>
      <w:r w:rsidRPr="0093684A">
        <w:rPr>
          <w:rFonts w:ascii="仿宋" w:eastAsia="仿宋" w:hAnsi="仿宋" w:hint="eastAsia"/>
          <w:sz w:val="32"/>
          <w:szCs w:val="32"/>
        </w:rPr>
        <w:t>企业的买卖、借款</w:t>
      </w:r>
      <w:r>
        <w:rPr>
          <w:rFonts w:ascii="仿宋" w:eastAsia="仿宋" w:hAnsi="仿宋" w:hint="eastAsia"/>
          <w:sz w:val="32"/>
          <w:szCs w:val="32"/>
        </w:rPr>
        <w:t>等</w:t>
      </w:r>
      <w:r w:rsidRPr="0093684A">
        <w:rPr>
          <w:rFonts w:ascii="仿宋" w:eastAsia="仿宋" w:hAnsi="仿宋" w:hint="eastAsia"/>
          <w:sz w:val="32"/>
          <w:szCs w:val="32"/>
        </w:rPr>
        <w:t>合</w:t>
      </w:r>
      <w:r w:rsidRPr="001B0625">
        <w:rPr>
          <w:rFonts w:ascii="仿宋" w:eastAsia="仿宋" w:hAnsi="仿宋" w:hint="eastAsia"/>
          <w:sz w:val="32"/>
          <w:szCs w:val="32"/>
        </w:rPr>
        <w:t>同</w:t>
      </w:r>
      <w:r>
        <w:rPr>
          <w:rFonts w:ascii="仿宋" w:eastAsia="仿宋" w:hAnsi="仿宋" w:hint="eastAsia"/>
          <w:sz w:val="32"/>
          <w:szCs w:val="32"/>
        </w:rPr>
        <w:t>纠纷</w:t>
      </w:r>
      <w:r w:rsidRPr="001B0625">
        <w:rPr>
          <w:rFonts w:ascii="仿宋" w:eastAsia="仿宋" w:hAnsi="仿宋" w:hint="eastAsia"/>
          <w:sz w:val="32"/>
          <w:szCs w:val="32"/>
        </w:rPr>
        <w:t>，以及在林下经营和沟系承包过程中引发的各种矛盾纠纷。</w:t>
      </w:r>
      <w:r w:rsidRPr="001B0625">
        <w:rPr>
          <w:rFonts w:ascii="仿宋" w:eastAsia="仿宋" w:hAnsi="仿宋" w:cs="宋体"/>
          <w:kern w:val="0"/>
          <w:sz w:val="32"/>
          <w:szCs w:val="32"/>
        </w:rPr>
        <w:t>妥善审理</w:t>
      </w:r>
      <w:r w:rsidRPr="0093684A">
        <w:rPr>
          <w:rFonts w:ascii="仿宋" w:eastAsia="仿宋" w:hAnsi="仿宋" w:cs="宋体"/>
          <w:kern w:val="0"/>
          <w:sz w:val="32"/>
          <w:szCs w:val="32"/>
        </w:rPr>
        <w:t>企业破产、兼并、改组、改制中</w:t>
      </w:r>
      <w:r w:rsidRPr="001B0625">
        <w:rPr>
          <w:rFonts w:ascii="仿宋" w:eastAsia="仿宋" w:hAnsi="仿宋" w:cs="宋体"/>
          <w:kern w:val="0"/>
          <w:sz w:val="32"/>
          <w:szCs w:val="32"/>
        </w:rPr>
        <w:t>发生的纠纷，妥善处理改制企业的产权和遗留债务，促进生产要素重组。依法化解社会管</w:t>
      </w:r>
      <w:r w:rsidRPr="001B0625">
        <w:rPr>
          <w:rFonts w:ascii="仿宋" w:eastAsia="仿宋" w:hAnsi="仿宋" w:cs="宋体"/>
          <w:kern w:val="0"/>
          <w:sz w:val="32"/>
          <w:szCs w:val="32"/>
        </w:rPr>
        <w:lastRenderedPageBreak/>
        <w:t>理、公用事业和公共服务领域产生的纠纷，优化</w:t>
      </w:r>
      <w:r w:rsidRPr="001B0625">
        <w:rPr>
          <w:rFonts w:ascii="仿宋" w:eastAsia="仿宋" w:hAnsi="仿宋" w:cs="宋体" w:hint="eastAsia"/>
          <w:kern w:val="0"/>
          <w:sz w:val="32"/>
          <w:szCs w:val="32"/>
        </w:rPr>
        <w:t>林区</w:t>
      </w:r>
      <w:r w:rsidRPr="001B0625">
        <w:rPr>
          <w:rFonts w:ascii="仿宋" w:eastAsia="仿宋" w:hAnsi="仿宋" w:cs="宋体"/>
          <w:kern w:val="0"/>
          <w:sz w:val="32"/>
          <w:szCs w:val="32"/>
        </w:rPr>
        <w:t>居民生产生活环境。妥善审理</w:t>
      </w:r>
      <w:r w:rsidRPr="001B0625">
        <w:rPr>
          <w:rFonts w:ascii="仿宋" w:eastAsia="仿宋" w:hAnsi="仿宋" w:cs="宋体" w:hint="eastAsia"/>
          <w:kern w:val="0"/>
          <w:sz w:val="32"/>
          <w:szCs w:val="32"/>
        </w:rPr>
        <w:t>城镇化</w:t>
      </w:r>
      <w:r w:rsidRPr="001B0625">
        <w:rPr>
          <w:rFonts w:ascii="仿宋" w:eastAsia="仿宋" w:hAnsi="仿宋" w:cs="宋体"/>
          <w:kern w:val="0"/>
          <w:sz w:val="32"/>
          <w:szCs w:val="32"/>
        </w:rPr>
        <w:t>建设等重点项目建设引发的各类纠纷案件，</w:t>
      </w:r>
      <w:r w:rsidRPr="001B0625">
        <w:rPr>
          <w:rFonts w:ascii="仿宋" w:eastAsia="仿宋" w:hAnsi="仿宋" w:cs="宋体" w:hint="eastAsia"/>
          <w:kern w:val="0"/>
          <w:sz w:val="32"/>
          <w:szCs w:val="32"/>
        </w:rPr>
        <w:t>避免</w:t>
      </w:r>
      <w:r w:rsidRPr="001B0625">
        <w:rPr>
          <w:rFonts w:ascii="仿宋" w:eastAsia="仿宋" w:hAnsi="仿宋" w:cs="宋体"/>
          <w:kern w:val="0"/>
          <w:sz w:val="32"/>
          <w:szCs w:val="32"/>
        </w:rPr>
        <w:t>诉讼活动对重点项目建设的影响。</w:t>
      </w:r>
    </w:p>
    <w:p w:rsidR="009A19FD" w:rsidRPr="00F70232" w:rsidRDefault="009A19FD" w:rsidP="009A19FD">
      <w:pPr>
        <w:ind w:firstLineChars="200" w:firstLine="640"/>
        <w:rPr>
          <w:rFonts w:ascii="仿宋" w:eastAsia="仿宋" w:hAnsi="仿宋"/>
          <w:sz w:val="32"/>
          <w:szCs w:val="32"/>
        </w:rPr>
      </w:pPr>
      <w:r w:rsidRPr="00F70232">
        <w:rPr>
          <w:rFonts w:ascii="仿宋" w:eastAsia="仿宋" w:hAnsi="仿宋" w:hint="eastAsia"/>
          <w:sz w:val="32"/>
          <w:szCs w:val="32"/>
        </w:rPr>
        <w:t>（一）在合同类案件审理工作中，注重强化规则意识、审慎处理合同效力的认定及违约责任的分配。</w:t>
      </w:r>
    </w:p>
    <w:p w:rsidR="009A19FD" w:rsidRPr="00F70232" w:rsidRDefault="009A19FD" w:rsidP="009A19FD">
      <w:pPr>
        <w:ind w:firstLine="640"/>
        <w:rPr>
          <w:rFonts w:ascii="仿宋" w:eastAsia="仿宋" w:hAnsi="仿宋"/>
          <w:sz w:val="32"/>
          <w:szCs w:val="32"/>
        </w:rPr>
      </w:pPr>
      <w:r w:rsidRPr="00F70232">
        <w:rPr>
          <w:rFonts w:ascii="仿宋" w:eastAsia="仿宋" w:hAnsi="仿宋" w:hint="eastAsia"/>
          <w:sz w:val="32"/>
          <w:szCs w:val="32"/>
        </w:rPr>
        <w:t>在国有森工企业转型过程中，由于产业结构升级和供给侧顺应市场需求进行调整等原因，往往导致既有合同的履行受到影响，甚至于部分合同的目的不能实现。对此，在审理相关案件的过程中，应对合同效力进行审慎认定，并针对客观情况，合理适用情势变更原则，以促成交易达成为基本出发点，主动引导当事人以补正履行的方式实现合同目的。对于须解除的合同，客观分析违约责任及原因，根据主观过错程度，对于违约责任的承担方式及数额给予不同情况的处理。</w:t>
      </w:r>
    </w:p>
    <w:p w:rsidR="009A19FD" w:rsidRPr="00A32550" w:rsidRDefault="009A19FD" w:rsidP="009A19FD">
      <w:pPr>
        <w:ind w:firstLineChars="200" w:firstLine="640"/>
        <w:rPr>
          <w:rFonts w:ascii="仿宋" w:eastAsia="仿宋" w:hAnsi="仿宋"/>
          <w:sz w:val="32"/>
          <w:szCs w:val="32"/>
        </w:rPr>
      </w:pPr>
      <w:r>
        <w:rPr>
          <w:rFonts w:ascii="仿宋" w:eastAsia="仿宋" w:hAnsi="仿宋" w:hint="eastAsia"/>
          <w:sz w:val="32"/>
          <w:szCs w:val="32"/>
        </w:rPr>
        <w:t>（二）</w:t>
      </w:r>
      <w:r w:rsidRPr="00A32550">
        <w:rPr>
          <w:rFonts w:ascii="仿宋" w:eastAsia="仿宋" w:hAnsi="仿宋" w:hint="eastAsia"/>
          <w:sz w:val="32"/>
          <w:szCs w:val="32"/>
        </w:rPr>
        <w:t>关于涉林企业发包涉林承包经营合同工作中急需规范和强化的几个问题</w:t>
      </w:r>
    </w:p>
    <w:p w:rsidR="009A19FD" w:rsidRPr="00A32550" w:rsidRDefault="009A19FD" w:rsidP="009A19FD">
      <w:pPr>
        <w:ind w:firstLineChars="200" w:firstLine="640"/>
        <w:rPr>
          <w:rFonts w:ascii="仿宋" w:eastAsia="仿宋" w:hAnsi="仿宋"/>
          <w:sz w:val="32"/>
          <w:szCs w:val="32"/>
        </w:rPr>
      </w:pPr>
      <w:r w:rsidRPr="00A32550">
        <w:rPr>
          <w:rFonts w:ascii="仿宋" w:eastAsia="仿宋" w:hAnsi="仿宋" w:hint="eastAsia"/>
          <w:sz w:val="32"/>
          <w:szCs w:val="32"/>
        </w:rPr>
        <w:t>综合审判实践中遇到的涉林企业在发包涉林承包合同中存在的上述问题，我们认为涉林企业发包和签订合同的行为必须在如下几个方面予以规范和强化：</w:t>
      </w:r>
    </w:p>
    <w:p w:rsidR="009A19FD" w:rsidRPr="00A32550" w:rsidRDefault="009A19FD" w:rsidP="009A19FD">
      <w:pPr>
        <w:ind w:firstLineChars="200" w:firstLine="640"/>
        <w:rPr>
          <w:rFonts w:ascii="仿宋" w:eastAsia="仿宋" w:hAnsi="仿宋"/>
          <w:sz w:val="32"/>
          <w:szCs w:val="32"/>
        </w:rPr>
      </w:pPr>
      <w:r>
        <w:rPr>
          <w:rFonts w:ascii="仿宋" w:eastAsia="仿宋" w:hAnsi="仿宋" w:hint="eastAsia"/>
          <w:sz w:val="32"/>
          <w:szCs w:val="32"/>
        </w:rPr>
        <w:t>1.</w:t>
      </w:r>
      <w:r w:rsidRPr="00A32550">
        <w:rPr>
          <w:rFonts w:ascii="仿宋" w:eastAsia="仿宋" w:hAnsi="仿宋" w:hint="eastAsia"/>
          <w:sz w:val="32"/>
          <w:szCs w:val="32"/>
        </w:rPr>
        <w:t>建议涉林企业应该设立专门的部门统一对外以涉林企业的名义签订合同，对企业下属基层单位对外签订合同的行为明令禁止，对涉及下属各基层单位对外发包承包经营林班的行为进行监督管理，对所签订合同进行建档存查。对企</w:t>
      </w:r>
      <w:r w:rsidRPr="00A32550">
        <w:rPr>
          <w:rFonts w:ascii="仿宋" w:eastAsia="仿宋" w:hAnsi="仿宋" w:hint="eastAsia"/>
          <w:sz w:val="32"/>
          <w:szCs w:val="32"/>
        </w:rPr>
        <w:lastRenderedPageBreak/>
        <w:t>业发包的林班逐一进行登记备案。</w:t>
      </w:r>
    </w:p>
    <w:p w:rsidR="009A19FD" w:rsidRPr="00A32550" w:rsidRDefault="009A19FD" w:rsidP="009A19FD">
      <w:pPr>
        <w:pStyle w:val="a5"/>
        <w:spacing w:before="0" w:beforeAutospacing="0" w:after="0" w:afterAutospacing="0"/>
        <w:ind w:firstLineChars="200" w:firstLine="640"/>
        <w:rPr>
          <w:rFonts w:ascii="仿宋" w:eastAsia="仿宋" w:hAnsi="仿宋"/>
          <w:sz w:val="32"/>
          <w:szCs w:val="32"/>
        </w:rPr>
      </w:pPr>
      <w:r>
        <w:rPr>
          <w:rFonts w:ascii="仿宋" w:eastAsia="仿宋" w:hAnsi="仿宋" w:cs="Times New Roman" w:hint="eastAsia"/>
          <w:kern w:val="2"/>
          <w:sz w:val="32"/>
          <w:szCs w:val="32"/>
        </w:rPr>
        <w:t>2.</w:t>
      </w:r>
      <w:r w:rsidRPr="00A32550">
        <w:rPr>
          <w:rFonts w:ascii="仿宋" w:eastAsia="仿宋" w:hAnsi="仿宋" w:hint="eastAsia"/>
          <w:sz w:val="32"/>
          <w:szCs w:val="32"/>
        </w:rPr>
        <w:t>审查对方当事人的情况</w:t>
      </w:r>
    </w:p>
    <w:p w:rsidR="009A19FD" w:rsidRPr="00A32550" w:rsidRDefault="009A19FD" w:rsidP="009A19FD">
      <w:pPr>
        <w:pStyle w:val="a5"/>
        <w:spacing w:before="0" w:beforeAutospacing="0" w:after="0" w:afterAutospacing="0"/>
        <w:ind w:firstLine="560"/>
        <w:rPr>
          <w:rFonts w:ascii="仿宋" w:eastAsia="仿宋" w:hAnsi="仿宋"/>
          <w:sz w:val="32"/>
          <w:szCs w:val="32"/>
        </w:rPr>
      </w:pPr>
      <w:r w:rsidRPr="00A32550">
        <w:rPr>
          <w:rFonts w:ascii="仿宋" w:eastAsia="仿宋" w:hAnsi="仿宋" w:hint="eastAsia"/>
          <w:sz w:val="32"/>
          <w:szCs w:val="32"/>
        </w:rPr>
        <w:t>对方当事人为自然人，审查主要针对当事人是否具有完全民事行为能力；对方当事人为法人：包括企业单位、事业单位、机关、社团等，需要审查其《企业法人营业执照》。对方当事人为其他组织，如独资企业、合伙人、企业分支机构等，无独立法人资格，要审查其《营业执照》，对于分支机构还需要审查其总公司的相 关情况。合同法规定，合同经法定代表人签字或加盖单位公章生效。因此，这类人员签订合同无需另外授权，并且其超越权限订立的合同，除相对人知道或应当知道的外，该合同是有效的。但并不能因为是法定代表人签订合同就可以掉以轻心，应要求其出示身份证件，与《营业执照》上的姓名相核对。当签约人为委托代理人时，应审查是否有授权委托书或单位介绍信，审查时注意授权是否清楚，权限的范围及是否已失效。</w:t>
      </w:r>
    </w:p>
    <w:p w:rsidR="009A19FD" w:rsidRPr="00A32550" w:rsidRDefault="009A19FD" w:rsidP="009A19FD">
      <w:pPr>
        <w:pStyle w:val="a5"/>
        <w:spacing w:before="0" w:beforeAutospacing="0" w:after="0" w:afterAutospacing="0"/>
        <w:ind w:firstLineChars="200" w:firstLine="640"/>
        <w:rPr>
          <w:rFonts w:ascii="仿宋" w:eastAsia="仿宋" w:hAnsi="仿宋"/>
          <w:sz w:val="32"/>
          <w:szCs w:val="32"/>
        </w:rPr>
      </w:pPr>
      <w:r>
        <w:rPr>
          <w:rFonts w:ascii="仿宋" w:eastAsia="仿宋" w:hAnsi="仿宋" w:hint="eastAsia"/>
          <w:sz w:val="32"/>
          <w:szCs w:val="32"/>
        </w:rPr>
        <w:t>3.</w:t>
      </w:r>
      <w:r w:rsidRPr="00A32550">
        <w:rPr>
          <w:rFonts w:ascii="仿宋" w:eastAsia="仿宋" w:hAnsi="仿宋" w:hint="eastAsia"/>
          <w:sz w:val="32"/>
          <w:szCs w:val="32"/>
        </w:rPr>
        <w:t>调查合同主体履约能力</w:t>
      </w:r>
    </w:p>
    <w:p w:rsidR="009A19FD" w:rsidRPr="00A32550" w:rsidRDefault="009A19FD" w:rsidP="009A19FD">
      <w:pPr>
        <w:pStyle w:val="a5"/>
        <w:spacing w:before="0" w:beforeAutospacing="0" w:after="0" w:afterAutospacing="0"/>
        <w:ind w:firstLine="560"/>
        <w:rPr>
          <w:rFonts w:ascii="仿宋" w:eastAsia="仿宋" w:hAnsi="仿宋"/>
          <w:sz w:val="32"/>
          <w:szCs w:val="32"/>
        </w:rPr>
      </w:pPr>
      <w:r w:rsidRPr="00A32550">
        <w:rPr>
          <w:rFonts w:ascii="仿宋" w:eastAsia="仿宋" w:hAnsi="仿宋" w:hint="eastAsia"/>
          <w:sz w:val="32"/>
          <w:szCs w:val="32"/>
        </w:rPr>
        <w:t>合同利益的实现，不仅需要合同主体合法性的客观可行，而且需要合同当事人履约能力的配合。因此审查对方的合同履约能力同样重要，如资信情况、商业信誉、历史履约情况等。</w:t>
      </w:r>
    </w:p>
    <w:p w:rsidR="009A19FD" w:rsidRPr="00A32550" w:rsidRDefault="009A19FD" w:rsidP="009A19FD">
      <w:pPr>
        <w:pStyle w:val="a6"/>
        <w:spacing w:line="240" w:lineRule="auto"/>
        <w:ind w:firstLineChars="200" w:firstLine="640"/>
        <w:rPr>
          <w:rFonts w:ascii="仿宋" w:eastAsia="仿宋" w:hAnsi="仿宋" w:cs="宋体"/>
          <w:sz w:val="32"/>
          <w:szCs w:val="32"/>
        </w:rPr>
      </w:pPr>
      <w:r>
        <w:rPr>
          <w:rFonts w:ascii="仿宋" w:eastAsia="仿宋" w:hAnsi="仿宋" w:cs="宋体" w:hint="eastAsia"/>
          <w:sz w:val="32"/>
          <w:szCs w:val="32"/>
        </w:rPr>
        <w:t>4.</w:t>
      </w:r>
      <w:r w:rsidRPr="00A32550">
        <w:rPr>
          <w:rFonts w:ascii="仿宋" w:eastAsia="仿宋" w:hAnsi="仿宋" w:cs="宋体" w:hint="eastAsia"/>
          <w:sz w:val="32"/>
          <w:szCs w:val="32"/>
        </w:rPr>
        <w:t>审查合同的条款、合同履行涉及的权利义务内容</w:t>
      </w:r>
    </w:p>
    <w:p w:rsidR="009A19FD" w:rsidRPr="00A32550" w:rsidRDefault="009A19FD" w:rsidP="009A19FD">
      <w:pPr>
        <w:pStyle w:val="a6"/>
        <w:spacing w:line="240" w:lineRule="auto"/>
        <w:ind w:firstLineChars="200" w:firstLine="640"/>
        <w:rPr>
          <w:rFonts w:ascii="仿宋" w:eastAsia="仿宋" w:hAnsi="仿宋"/>
          <w:sz w:val="32"/>
          <w:szCs w:val="32"/>
        </w:rPr>
      </w:pPr>
      <w:r w:rsidRPr="00A32550">
        <w:rPr>
          <w:rFonts w:ascii="仿宋" w:eastAsia="仿宋" w:hAnsi="仿宋" w:hint="eastAsia"/>
          <w:sz w:val="32"/>
          <w:szCs w:val="32"/>
        </w:rPr>
        <w:t>我国的合同法第十二条规定，合同的内容一般包括以下</w:t>
      </w:r>
      <w:r w:rsidRPr="00A32550">
        <w:rPr>
          <w:rFonts w:ascii="仿宋" w:eastAsia="仿宋" w:hAnsi="仿宋" w:hint="eastAsia"/>
          <w:sz w:val="32"/>
          <w:szCs w:val="32"/>
        </w:rPr>
        <w:lastRenderedPageBreak/>
        <w:t>条款：(一)当事人的名称或者姓名和住所;(二)标的;(三)数量;(四)质量;(五)价款或者报酬;(六)履行期限、地点和方式;(七)违约责任;(八)解决争议的方法。</w:t>
      </w:r>
    </w:p>
    <w:p w:rsidR="009A19FD" w:rsidRPr="00A32550" w:rsidRDefault="009A19FD" w:rsidP="009A19FD">
      <w:pPr>
        <w:pStyle w:val="a6"/>
        <w:spacing w:line="240" w:lineRule="auto"/>
        <w:ind w:firstLineChars="200" w:firstLine="640"/>
        <w:rPr>
          <w:rFonts w:ascii="仿宋" w:eastAsia="仿宋" w:hAnsi="仿宋"/>
          <w:sz w:val="32"/>
          <w:szCs w:val="32"/>
        </w:rPr>
      </w:pPr>
      <w:r w:rsidRPr="00A32550">
        <w:rPr>
          <w:rFonts w:ascii="仿宋" w:eastAsia="仿宋" w:hAnsi="仿宋" w:hint="eastAsia"/>
          <w:sz w:val="32"/>
          <w:szCs w:val="32"/>
        </w:rPr>
        <w:t>一份完善的合同，应该是对上述条款进行细致的撰写，能指导合同双方按照签署合同的真实意思来履行。合同条款应全面、无重大遗漏，并且合同条款不应有歧义，否则就可能给合同的履行带来困难。因此，订立合同时要力争做到用词准确、清楚，避免产生歧义，对合同条款精雕细琢、防范法律风险。</w:t>
      </w:r>
    </w:p>
    <w:p w:rsidR="009A19FD" w:rsidRPr="00A32550" w:rsidRDefault="009A19FD" w:rsidP="009A19FD">
      <w:pPr>
        <w:pStyle w:val="a6"/>
        <w:spacing w:line="240" w:lineRule="auto"/>
        <w:ind w:firstLineChars="200" w:firstLine="640"/>
        <w:rPr>
          <w:rFonts w:ascii="仿宋" w:eastAsia="仿宋" w:hAnsi="仿宋"/>
          <w:sz w:val="32"/>
          <w:szCs w:val="32"/>
        </w:rPr>
      </w:pPr>
      <w:r>
        <w:rPr>
          <w:rFonts w:ascii="仿宋" w:eastAsia="仿宋" w:hAnsi="仿宋" w:hint="eastAsia"/>
          <w:sz w:val="32"/>
          <w:szCs w:val="32"/>
        </w:rPr>
        <w:t>5.</w:t>
      </w:r>
      <w:r w:rsidRPr="00A32550">
        <w:rPr>
          <w:rFonts w:ascii="仿宋" w:eastAsia="仿宋" w:hAnsi="仿宋" w:hint="eastAsia"/>
          <w:sz w:val="32"/>
          <w:szCs w:val="32"/>
        </w:rPr>
        <w:t>违约责任及定金</w:t>
      </w:r>
    </w:p>
    <w:p w:rsidR="009A19FD" w:rsidRPr="00A32550" w:rsidRDefault="009A19FD" w:rsidP="009A19FD">
      <w:pPr>
        <w:pStyle w:val="a6"/>
        <w:spacing w:line="240" w:lineRule="auto"/>
        <w:ind w:firstLineChars="200" w:firstLine="640"/>
        <w:rPr>
          <w:rFonts w:ascii="仿宋" w:eastAsia="仿宋" w:hAnsi="仿宋"/>
          <w:sz w:val="32"/>
          <w:szCs w:val="32"/>
        </w:rPr>
      </w:pPr>
      <w:r w:rsidRPr="00A32550">
        <w:rPr>
          <w:rFonts w:ascii="仿宋" w:eastAsia="仿宋" w:hAnsi="仿宋" w:hint="eastAsia"/>
          <w:sz w:val="32"/>
          <w:szCs w:val="32"/>
        </w:rPr>
        <w:t>在违约问题上，“任何一方违反本合同约定均需要依法承担违约责任”的约定属于十足的空话，没有细节条款也就根本无法充分追究违约责任，而要充分追究违约责任则要在许多条款方面就行细化。</w:t>
      </w:r>
    </w:p>
    <w:p w:rsidR="009A19FD" w:rsidRPr="00A32550" w:rsidRDefault="009A19FD" w:rsidP="009A19FD">
      <w:pPr>
        <w:pStyle w:val="a6"/>
        <w:spacing w:line="240" w:lineRule="auto"/>
        <w:ind w:firstLineChars="200" w:firstLine="640"/>
        <w:rPr>
          <w:rFonts w:ascii="仿宋" w:eastAsia="仿宋" w:hAnsi="仿宋"/>
          <w:sz w:val="32"/>
          <w:szCs w:val="32"/>
        </w:rPr>
      </w:pPr>
      <w:r w:rsidRPr="00A32550">
        <w:rPr>
          <w:rFonts w:ascii="仿宋" w:eastAsia="仿宋" w:hAnsi="仿宋" w:hint="eastAsia"/>
          <w:sz w:val="32"/>
          <w:szCs w:val="32"/>
        </w:rPr>
        <w:t>根据我国《担保法》的91条规定："定金的数额由当事人约定，但不得超过主合同标的额20%。"合同履行的"订金"、"留置金"、"担保金"、"保证金"、"订约金""押金"作为预付款的一部分，无论哪一方不履行，只要将其如数返还给给付的一方即可。同时约定定金和违约金的，争议时当事人可以选择一种，不能同时使用。</w:t>
      </w:r>
    </w:p>
    <w:p w:rsidR="009A19FD" w:rsidRPr="00A32550" w:rsidRDefault="009A19FD" w:rsidP="009A19FD">
      <w:pPr>
        <w:pStyle w:val="a6"/>
        <w:spacing w:line="240" w:lineRule="auto"/>
        <w:ind w:firstLineChars="200" w:firstLine="640"/>
        <w:rPr>
          <w:rFonts w:ascii="仿宋" w:eastAsia="仿宋" w:hAnsi="仿宋"/>
          <w:sz w:val="32"/>
          <w:szCs w:val="32"/>
        </w:rPr>
      </w:pPr>
      <w:r>
        <w:rPr>
          <w:rFonts w:ascii="仿宋" w:eastAsia="仿宋" w:hAnsi="仿宋" w:hint="eastAsia"/>
          <w:sz w:val="32"/>
          <w:szCs w:val="32"/>
        </w:rPr>
        <w:t>6.</w:t>
      </w:r>
      <w:r w:rsidRPr="00A32550">
        <w:rPr>
          <w:rFonts w:ascii="仿宋" w:eastAsia="仿宋" w:hAnsi="仿宋" w:hint="eastAsia"/>
          <w:sz w:val="32"/>
          <w:szCs w:val="32"/>
        </w:rPr>
        <w:t>解决争议方法</w:t>
      </w:r>
    </w:p>
    <w:p w:rsidR="009A19FD" w:rsidRPr="00A32550" w:rsidRDefault="009A19FD" w:rsidP="009A19FD">
      <w:pPr>
        <w:pStyle w:val="a6"/>
        <w:spacing w:line="240" w:lineRule="auto"/>
        <w:ind w:firstLineChars="200" w:firstLine="640"/>
        <w:rPr>
          <w:rFonts w:ascii="仿宋" w:eastAsia="仿宋" w:hAnsi="仿宋"/>
          <w:sz w:val="32"/>
          <w:szCs w:val="32"/>
        </w:rPr>
      </w:pPr>
      <w:r w:rsidRPr="00A32550">
        <w:rPr>
          <w:rFonts w:ascii="仿宋" w:eastAsia="仿宋" w:hAnsi="仿宋" w:hint="eastAsia"/>
          <w:sz w:val="32"/>
          <w:szCs w:val="32"/>
        </w:rPr>
        <w:t>根据具体情况选择诉讼或仲裁的途径。</w:t>
      </w:r>
    </w:p>
    <w:p w:rsidR="009A19FD" w:rsidRPr="00A32550" w:rsidRDefault="009A19FD" w:rsidP="009A19FD">
      <w:pPr>
        <w:pStyle w:val="a6"/>
        <w:spacing w:line="240" w:lineRule="auto"/>
        <w:ind w:firstLineChars="200" w:firstLine="640"/>
        <w:rPr>
          <w:rFonts w:ascii="仿宋" w:eastAsia="仿宋" w:hAnsi="仿宋"/>
          <w:sz w:val="32"/>
          <w:szCs w:val="32"/>
        </w:rPr>
      </w:pPr>
      <w:r w:rsidRPr="00A32550">
        <w:rPr>
          <w:rFonts w:ascii="仿宋" w:eastAsia="仿宋" w:hAnsi="仿宋" w:hint="eastAsia"/>
          <w:sz w:val="32"/>
          <w:szCs w:val="32"/>
        </w:rPr>
        <w:lastRenderedPageBreak/>
        <w:t>诉讼管辖地的约定要明确，则可依照《民事诉讼法》第25条的规定，可明确选择原告住所地、合同履行地、合同签订地、标的物所在地、被告住所地中任一处对己方有利的地方作为纠纷的管辖法院，争取在己方所在地法院起诉，但是不得违反专属管辖和级别管辖的规定。</w:t>
      </w:r>
    </w:p>
    <w:p w:rsidR="009A19FD" w:rsidRPr="00A32550" w:rsidRDefault="009A19FD" w:rsidP="009A19FD">
      <w:pPr>
        <w:pStyle w:val="a6"/>
        <w:spacing w:line="240" w:lineRule="auto"/>
        <w:ind w:firstLineChars="200" w:firstLine="640"/>
        <w:rPr>
          <w:rFonts w:ascii="仿宋" w:eastAsia="仿宋" w:hAnsi="仿宋"/>
          <w:sz w:val="32"/>
          <w:szCs w:val="32"/>
        </w:rPr>
      </w:pPr>
      <w:r>
        <w:rPr>
          <w:rFonts w:ascii="仿宋" w:eastAsia="仿宋" w:hAnsi="仿宋" w:hint="eastAsia"/>
          <w:sz w:val="32"/>
          <w:szCs w:val="32"/>
        </w:rPr>
        <w:t>7.</w:t>
      </w:r>
      <w:r w:rsidRPr="00A32550">
        <w:rPr>
          <w:rFonts w:ascii="仿宋" w:eastAsia="仿宋" w:hAnsi="仿宋" w:hint="eastAsia"/>
          <w:sz w:val="32"/>
          <w:szCs w:val="32"/>
        </w:rPr>
        <w:t>合同落款、署名、盖章等方面</w:t>
      </w:r>
    </w:p>
    <w:p w:rsidR="009A19FD" w:rsidRPr="00A32550" w:rsidRDefault="009A19FD" w:rsidP="009A19FD">
      <w:pPr>
        <w:pStyle w:val="a6"/>
        <w:spacing w:line="240" w:lineRule="auto"/>
        <w:ind w:firstLineChars="200" w:firstLine="640"/>
        <w:rPr>
          <w:rFonts w:ascii="仿宋" w:eastAsia="仿宋" w:hAnsi="仿宋"/>
          <w:sz w:val="32"/>
          <w:szCs w:val="32"/>
        </w:rPr>
      </w:pPr>
      <w:r>
        <w:rPr>
          <w:rFonts w:ascii="仿宋" w:eastAsia="仿宋" w:hAnsi="仿宋" w:hint="eastAsia"/>
          <w:sz w:val="32"/>
          <w:szCs w:val="32"/>
        </w:rPr>
        <w:t>（1）</w:t>
      </w:r>
      <w:r w:rsidRPr="00A32550">
        <w:rPr>
          <w:rFonts w:ascii="仿宋" w:eastAsia="仿宋" w:hAnsi="仿宋" w:hint="eastAsia"/>
          <w:sz w:val="32"/>
          <w:szCs w:val="32"/>
        </w:rPr>
        <w:t>不注意写明签名人是法人代表，还是法定代表人授权的其他委托代理人。常见的问题是，合同落款双方的法定代表人签名处，常常由不是法定代表人，而是法人代表的授权委托人的署名，但却不写明是委托代理人。有时是委托代理人自己签上法定代表人的名字，却不写被委托人代签。</w:t>
      </w:r>
    </w:p>
    <w:p w:rsidR="009A19FD" w:rsidRPr="00A32550" w:rsidRDefault="009A19FD" w:rsidP="009A19FD">
      <w:pPr>
        <w:pStyle w:val="a6"/>
        <w:spacing w:line="240" w:lineRule="auto"/>
        <w:ind w:firstLineChars="200" w:firstLine="640"/>
        <w:rPr>
          <w:rFonts w:ascii="仿宋" w:eastAsia="仿宋" w:hAnsi="仿宋"/>
          <w:sz w:val="32"/>
          <w:szCs w:val="32"/>
        </w:rPr>
      </w:pPr>
      <w:r>
        <w:rPr>
          <w:rFonts w:ascii="仿宋" w:eastAsia="仿宋" w:hAnsi="仿宋" w:hint="eastAsia"/>
          <w:sz w:val="32"/>
          <w:szCs w:val="32"/>
        </w:rPr>
        <w:t>（2）</w:t>
      </w:r>
      <w:r w:rsidRPr="00A32550">
        <w:rPr>
          <w:rFonts w:ascii="仿宋" w:eastAsia="仿宋" w:hAnsi="仿宋" w:hint="eastAsia"/>
          <w:sz w:val="32"/>
          <w:szCs w:val="32"/>
        </w:rPr>
        <w:t>盖章中不重视的现象更多，本应盖法人单位名称的公章，却盖上了分公司或公司下属部门的印章，或者只盖公章，法定代表人或委托代理人没有签名。</w:t>
      </w:r>
    </w:p>
    <w:p w:rsidR="009A19FD" w:rsidRPr="00A32550" w:rsidRDefault="009A19FD" w:rsidP="009A19FD">
      <w:pPr>
        <w:pStyle w:val="a6"/>
        <w:spacing w:line="240" w:lineRule="auto"/>
        <w:ind w:firstLineChars="200" w:firstLine="640"/>
        <w:rPr>
          <w:rFonts w:ascii="仿宋" w:eastAsia="仿宋" w:hAnsi="仿宋"/>
          <w:sz w:val="32"/>
          <w:szCs w:val="32"/>
        </w:rPr>
      </w:pPr>
      <w:r>
        <w:rPr>
          <w:rFonts w:ascii="仿宋" w:eastAsia="仿宋" w:hAnsi="仿宋" w:hint="eastAsia"/>
          <w:sz w:val="32"/>
          <w:szCs w:val="32"/>
        </w:rPr>
        <w:t>（3）</w:t>
      </w:r>
      <w:r w:rsidRPr="00A32550">
        <w:rPr>
          <w:rFonts w:ascii="仿宋" w:eastAsia="仿宋" w:hAnsi="仿宋" w:hint="eastAsia"/>
          <w:sz w:val="32"/>
          <w:szCs w:val="32"/>
        </w:rPr>
        <w:t>不注意在合同落款中既要盖单位公章，又要法人代表或者其他委托代理人签名，因为这样做可以防止他人盗用单位的介绍信或公章，进行合同诈骗。而常见的是有些合同只盖了公章和法定代表人的私章，而不经双方法定代表人或委托代理人签名，当发生纠纷时，对方以不经我方签名，而是他人偷盖了我单位的印章为由不予承担责任，或者不履行合同等。</w:t>
      </w:r>
    </w:p>
    <w:p w:rsidR="009A19FD" w:rsidRPr="00425C6D" w:rsidRDefault="009A19FD" w:rsidP="009A19FD">
      <w:pPr>
        <w:pStyle w:val="a6"/>
        <w:spacing w:line="240" w:lineRule="auto"/>
        <w:ind w:firstLineChars="200" w:firstLine="640"/>
        <w:rPr>
          <w:rFonts w:ascii="仿宋" w:eastAsia="仿宋" w:hAnsi="仿宋"/>
          <w:b/>
          <w:sz w:val="32"/>
          <w:szCs w:val="32"/>
        </w:rPr>
      </w:pPr>
      <w:r w:rsidRPr="00425C6D">
        <w:rPr>
          <w:rStyle w:val="a7"/>
          <w:rFonts w:ascii="仿宋" w:eastAsia="仿宋" w:hAnsi="仿宋" w:hint="eastAsia"/>
          <w:b w:val="0"/>
          <w:color w:val="000000"/>
          <w:sz w:val="32"/>
          <w:szCs w:val="32"/>
        </w:rPr>
        <w:t>8.其他注意事项</w:t>
      </w:r>
    </w:p>
    <w:p w:rsidR="009A19FD" w:rsidRPr="00A32550" w:rsidRDefault="009A19FD" w:rsidP="009A19FD">
      <w:pPr>
        <w:pStyle w:val="a6"/>
        <w:spacing w:line="240" w:lineRule="auto"/>
        <w:ind w:firstLineChars="200" w:firstLine="640"/>
        <w:rPr>
          <w:rFonts w:ascii="仿宋" w:eastAsia="仿宋" w:hAnsi="仿宋"/>
          <w:sz w:val="32"/>
          <w:szCs w:val="32"/>
        </w:rPr>
      </w:pPr>
      <w:r>
        <w:rPr>
          <w:rFonts w:ascii="仿宋" w:eastAsia="仿宋" w:hAnsi="仿宋" w:hint="eastAsia"/>
          <w:sz w:val="32"/>
          <w:szCs w:val="32"/>
        </w:rPr>
        <w:lastRenderedPageBreak/>
        <w:t>（1）</w:t>
      </w:r>
      <w:r w:rsidRPr="00A32550">
        <w:rPr>
          <w:rFonts w:ascii="仿宋" w:eastAsia="仿宋" w:hAnsi="仿宋" w:hint="eastAsia"/>
          <w:sz w:val="32"/>
          <w:szCs w:val="32"/>
        </w:rPr>
        <w:t>骑缝章,注意多页合同应每页盖上骑缝公章，以防对方偷梁换柱，防止发生争议时造成严重的后果。</w:t>
      </w:r>
    </w:p>
    <w:p w:rsidR="009A19FD" w:rsidRDefault="009A19FD" w:rsidP="009A19FD">
      <w:pPr>
        <w:ind w:firstLineChars="200" w:firstLine="640"/>
        <w:rPr>
          <w:rFonts w:ascii="仿宋" w:eastAsia="仿宋" w:hAnsi="仿宋"/>
          <w:sz w:val="32"/>
          <w:szCs w:val="32"/>
        </w:rPr>
      </w:pPr>
      <w:r>
        <w:rPr>
          <w:rFonts w:ascii="仿宋" w:eastAsia="仿宋" w:hAnsi="仿宋" w:hint="eastAsia"/>
          <w:sz w:val="32"/>
          <w:szCs w:val="32"/>
        </w:rPr>
        <w:t>（2）</w:t>
      </w:r>
      <w:r w:rsidRPr="00A32550">
        <w:rPr>
          <w:rFonts w:ascii="仿宋" w:eastAsia="仿宋" w:hAnsi="仿宋" w:hint="eastAsia"/>
          <w:sz w:val="32"/>
          <w:szCs w:val="32"/>
        </w:rPr>
        <w:t>合同变动,合同中修改或增加的部分一定双方加盖校对章或公章。以防止发生争议时对方不予认可。但手写加入的补充条款只有我方的校对章而没有对方的盖章确认，诉讼时对方不予认可，造成一方承担本不应承担的责任。</w:t>
      </w:r>
    </w:p>
    <w:p w:rsidR="009A19FD" w:rsidRPr="00012E53" w:rsidRDefault="009A19FD" w:rsidP="009A19FD">
      <w:pPr>
        <w:ind w:firstLineChars="200" w:firstLine="640"/>
        <w:rPr>
          <w:rFonts w:ascii="仿宋" w:eastAsia="仿宋" w:hAnsi="仿宋"/>
          <w:sz w:val="32"/>
          <w:szCs w:val="32"/>
        </w:rPr>
      </w:pPr>
      <w:r>
        <w:rPr>
          <w:rFonts w:ascii="仿宋" w:eastAsia="仿宋" w:hAnsi="仿宋" w:hint="eastAsia"/>
          <w:sz w:val="32"/>
          <w:szCs w:val="32"/>
        </w:rPr>
        <w:t>（三）</w:t>
      </w:r>
      <w:r w:rsidRPr="00012E53">
        <w:rPr>
          <w:rFonts w:ascii="仿宋" w:eastAsia="仿宋" w:hAnsi="仿宋" w:hint="eastAsia"/>
          <w:sz w:val="32"/>
          <w:szCs w:val="32"/>
        </w:rPr>
        <w:t>针对极易出现群体性维权的案件，尤其是劳动争议案件，一定要慎之又慎，积极查找案件背后的问题，分析原因，以争取有效化解矛盾纠纷。</w:t>
      </w:r>
    </w:p>
    <w:p w:rsidR="009A19FD" w:rsidRPr="00012E53" w:rsidRDefault="009A19FD" w:rsidP="009A19FD">
      <w:pPr>
        <w:ind w:firstLine="720"/>
        <w:rPr>
          <w:rFonts w:ascii="仿宋" w:eastAsia="仿宋" w:hAnsi="仿宋"/>
          <w:sz w:val="32"/>
          <w:szCs w:val="32"/>
        </w:rPr>
      </w:pPr>
      <w:r w:rsidRPr="00012E53">
        <w:rPr>
          <w:rFonts w:ascii="仿宋" w:eastAsia="仿宋" w:hAnsi="仿宋" w:hint="eastAsia"/>
          <w:sz w:val="32"/>
          <w:szCs w:val="32"/>
        </w:rPr>
        <w:t>1.坚持正确的审判理念。在审理劳动争议案件时必须坚持正确的审判理念，着眼于协调好企业与劳动者双方利益关系，平衡保护各方合法权利，既要保护劳动者的权益的最大化，又要兼顾企业负担能力与生存空间，积极促进劳动关系的和谐稳定，推动经济平稳健康发展。</w:t>
      </w:r>
    </w:p>
    <w:p w:rsidR="009A19FD" w:rsidRPr="00012E53" w:rsidRDefault="009A19FD" w:rsidP="009A19FD">
      <w:pPr>
        <w:ind w:firstLine="720"/>
        <w:rPr>
          <w:rFonts w:ascii="仿宋" w:eastAsia="仿宋" w:hAnsi="仿宋"/>
          <w:sz w:val="32"/>
          <w:szCs w:val="32"/>
        </w:rPr>
      </w:pPr>
      <w:r w:rsidRPr="00012E53">
        <w:rPr>
          <w:rFonts w:ascii="仿宋" w:eastAsia="仿宋" w:hAnsi="仿宋" w:hint="eastAsia"/>
          <w:sz w:val="32"/>
          <w:szCs w:val="32"/>
        </w:rPr>
        <w:t>2.充分发挥司法裁判引导作用。通过科学统一的劳动争议案件裁判标准，向公众明确劳动争议纠纷诉讼的裁判尺度，充分发挥司法裁判对劳动争议纠纷的引导作用，促使劳动者依法维权，企业依法用工。</w:t>
      </w:r>
    </w:p>
    <w:p w:rsidR="009A19FD" w:rsidRPr="00012E53" w:rsidRDefault="009A19FD" w:rsidP="009A19FD">
      <w:pPr>
        <w:ind w:firstLine="720"/>
        <w:rPr>
          <w:rFonts w:ascii="仿宋" w:eastAsia="仿宋" w:hAnsi="仿宋"/>
          <w:sz w:val="32"/>
          <w:szCs w:val="32"/>
        </w:rPr>
      </w:pPr>
      <w:r w:rsidRPr="00012E53">
        <w:rPr>
          <w:rFonts w:ascii="仿宋" w:eastAsia="仿宋" w:hAnsi="仿宋" w:hint="eastAsia"/>
          <w:sz w:val="32"/>
          <w:szCs w:val="32"/>
        </w:rPr>
        <w:t>3.完善多元化劳动争议调处机制。劳动争议的解决途径是“协商→调解→仲裁→诉讼”，在处理劳动争议纠纷时应主动与工会、劳动仲裁、劳动监察等相关部门加强沟通，积极构建一体化解决机制，共同有效化解劳动争议纠纷。</w:t>
      </w:r>
    </w:p>
    <w:p w:rsidR="009A19FD" w:rsidRPr="00012E53" w:rsidRDefault="009A19FD" w:rsidP="009A19FD">
      <w:pPr>
        <w:ind w:firstLine="720"/>
        <w:rPr>
          <w:rFonts w:ascii="仿宋" w:eastAsia="仿宋" w:hAnsi="仿宋"/>
          <w:sz w:val="32"/>
          <w:szCs w:val="32"/>
        </w:rPr>
      </w:pPr>
      <w:r w:rsidRPr="00012E53">
        <w:rPr>
          <w:rFonts w:ascii="仿宋" w:eastAsia="仿宋" w:hAnsi="仿宋" w:hint="eastAsia"/>
          <w:sz w:val="32"/>
          <w:szCs w:val="32"/>
        </w:rPr>
        <w:lastRenderedPageBreak/>
        <w:t>4.强化劳动争议纠纷案件的调解。劳动争议既涉及民生，又涉及企业发展，大部分为批量案件，处理不慎极有可能引发群体性事件，以调解结案是最佳选择，要把调解贯穿于劳动争议案件处理的始终，积极引导双方通过协商化解纠纷。</w:t>
      </w:r>
    </w:p>
    <w:p w:rsidR="009A19FD" w:rsidRPr="00012E53" w:rsidRDefault="009A19FD" w:rsidP="009A19FD">
      <w:pPr>
        <w:ind w:firstLine="720"/>
        <w:rPr>
          <w:rFonts w:ascii="仿宋" w:eastAsia="仿宋" w:hAnsi="仿宋"/>
          <w:sz w:val="32"/>
          <w:szCs w:val="32"/>
        </w:rPr>
      </w:pPr>
      <w:r w:rsidRPr="00012E53">
        <w:rPr>
          <w:rFonts w:ascii="仿宋" w:eastAsia="仿宋" w:hAnsi="仿宋" w:hint="eastAsia"/>
          <w:sz w:val="32"/>
          <w:szCs w:val="32"/>
        </w:rPr>
        <w:t>5.加大相关法律法规宣传力度。劳资双方尤其是劳动者劳动法律知识普遍缺乏是引起纠纷的重要因素之一，要通过各种渠道，丰富宣传形式，加大对劳动法等相关法律法规宣传力度。</w:t>
      </w:r>
    </w:p>
    <w:p w:rsidR="009A19FD" w:rsidRPr="001B0625" w:rsidRDefault="009A19FD" w:rsidP="009A19FD">
      <w:pPr>
        <w:ind w:firstLineChars="200" w:firstLine="640"/>
        <w:rPr>
          <w:rFonts w:ascii="仿宋" w:eastAsia="仿宋" w:hAnsi="仿宋" w:cs="宋体"/>
          <w:kern w:val="0"/>
          <w:sz w:val="32"/>
          <w:szCs w:val="32"/>
        </w:rPr>
      </w:pPr>
      <w:r>
        <w:rPr>
          <w:rFonts w:ascii="仿宋" w:eastAsia="仿宋" w:hAnsi="仿宋" w:hint="eastAsia"/>
          <w:sz w:val="32"/>
          <w:szCs w:val="32"/>
        </w:rPr>
        <w:t>（四）</w:t>
      </w:r>
      <w:r w:rsidRPr="001B0625">
        <w:rPr>
          <w:rFonts w:ascii="仿宋" w:eastAsia="仿宋" w:hAnsi="仿宋" w:hint="eastAsia"/>
          <w:kern w:val="0"/>
          <w:sz w:val="32"/>
          <w:szCs w:val="32"/>
        </w:rPr>
        <w:t>开辟涉企案件“绿色通道”。进一步强化主动服务意见，</w:t>
      </w:r>
      <w:r w:rsidRPr="001B0625">
        <w:rPr>
          <w:rFonts w:ascii="仿宋" w:eastAsia="仿宋" w:hAnsi="仿宋"/>
          <w:sz w:val="32"/>
          <w:szCs w:val="32"/>
        </w:rPr>
        <w:t>畅通涉企纠纷诉讼便捷通道，在依法的前提下，</w:t>
      </w:r>
      <w:r w:rsidRPr="001B0625">
        <w:rPr>
          <w:rFonts w:ascii="仿宋" w:eastAsia="仿宋" w:hAnsi="仿宋" w:hint="eastAsia"/>
          <w:kern w:val="0"/>
          <w:sz w:val="32"/>
          <w:szCs w:val="32"/>
        </w:rPr>
        <w:t>对涉企案件特别是涉及</w:t>
      </w:r>
      <w:r w:rsidRPr="001B0625">
        <w:rPr>
          <w:rFonts w:ascii="仿宋" w:eastAsia="仿宋" w:hAnsi="仿宋" w:hint="eastAsia"/>
          <w:sz w:val="32"/>
          <w:szCs w:val="32"/>
        </w:rPr>
        <w:t>林区重点项目工作的案件，要</w:t>
      </w:r>
      <w:r w:rsidRPr="001B0625">
        <w:rPr>
          <w:rFonts w:ascii="仿宋" w:eastAsia="仿宋" w:hAnsi="仿宋" w:hint="eastAsia"/>
          <w:kern w:val="0"/>
          <w:sz w:val="32"/>
          <w:szCs w:val="32"/>
        </w:rPr>
        <w:t>切实做到快立、</w:t>
      </w:r>
      <w:r w:rsidRPr="001B0625">
        <w:rPr>
          <w:rFonts w:ascii="仿宋" w:eastAsia="仿宋" w:hAnsi="仿宋" w:hint="eastAsia"/>
          <w:sz w:val="32"/>
          <w:szCs w:val="32"/>
        </w:rPr>
        <w:t>快保、</w:t>
      </w:r>
      <w:r w:rsidRPr="001B0625">
        <w:rPr>
          <w:rFonts w:ascii="仿宋" w:eastAsia="仿宋" w:hAnsi="仿宋" w:hint="eastAsia"/>
          <w:kern w:val="0"/>
          <w:sz w:val="32"/>
          <w:szCs w:val="32"/>
        </w:rPr>
        <w:t>快审、快结、快执</w:t>
      </w:r>
      <w:r w:rsidRPr="001B0625">
        <w:rPr>
          <w:rFonts w:ascii="仿宋" w:eastAsia="仿宋" w:hAnsi="仿宋" w:hint="eastAsia"/>
          <w:sz w:val="32"/>
          <w:szCs w:val="32"/>
        </w:rPr>
        <w:t>，切实提高审判工作效率</w:t>
      </w:r>
      <w:r w:rsidRPr="001B0625">
        <w:rPr>
          <w:rFonts w:ascii="仿宋" w:eastAsia="仿宋" w:hAnsi="仿宋" w:hint="eastAsia"/>
          <w:kern w:val="0"/>
          <w:sz w:val="32"/>
          <w:szCs w:val="32"/>
        </w:rPr>
        <w:t>。</w:t>
      </w:r>
      <w:r w:rsidRPr="001B0625">
        <w:rPr>
          <w:rFonts w:ascii="仿宋" w:eastAsia="仿宋" w:hAnsi="仿宋" w:cs="宋体"/>
          <w:kern w:val="0"/>
          <w:sz w:val="32"/>
          <w:szCs w:val="32"/>
        </w:rPr>
        <w:t>扩大简易程序适用范围，</w:t>
      </w:r>
      <w:r w:rsidRPr="001B0625">
        <w:rPr>
          <w:rFonts w:ascii="仿宋" w:eastAsia="仿宋" w:hAnsi="仿宋" w:cs="宋体" w:hint="eastAsia"/>
          <w:kern w:val="0"/>
          <w:sz w:val="32"/>
          <w:szCs w:val="32"/>
        </w:rPr>
        <w:t>贯彻落实好</w:t>
      </w:r>
      <w:r w:rsidRPr="001B0625">
        <w:rPr>
          <w:rFonts w:ascii="仿宋" w:eastAsia="仿宋" w:hAnsi="仿宋" w:cs="宋体"/>
          <w:kern w:val="0"/>
          <w:sz w:val="32"/>
          <w:szCs w:val="32"/>
        </w:rPr>
        <w:t>小额</w:t>
      </w:r>
      <w:r w:rsidRPr="001B0625">
        <w:rPr>
          <w:rFonts w:ascii="仿宋" w:eastAsia="仿宋" w:hAnsi="仿宋" w:cs="宋体" w:hint="eastAsia"/>
          <w:kern w:val="0"/>
          <w:sz w:val="32"/>
          <w:szCs w:val="32"/>
        </w:rPr>
        <w:t>诉讼</w:t>
      </w:r>
      <w:r w:rsidRPr="001B0625">
        <w:rPr>
          <w:rFonts w:ascii="仿宋" w:eastAsia="仿宋" w:hAnsi="仿宋" w:cs="宋体"/>
          <w:kern w:val="0"/>
          <w:sz w:val="32"/>
          <w:szCs w:val="32"/>
        </w:rPr>
        <w:t>速裁机制，做到即告即立、即立即审、即审即裁。</w:t>
      </w:r>
      <w:r w:rsidRPr="001B0625">
        <w:rPr>
          <w:rFonts w:ascii="仿宋" w:eastAsia="仿宋" w:hAnsi="仿宋"/>
          <w:sz w:val="32"/>
          <w:szCs w:val="32"/>
        </w:rPr>
        <w:t>实行巡回审判工作机制，对相关案件就地立案、就地开庭、就地审理</w:t>
      </w:r>
      <w:r w:rsidRPr="001B0625">
        <w:rPr>
          <w:rFonts w:ascii="仿宋" w:eastAsia="仿宋" w:hAnsi="仿宋" w:hint="eastAsia"/>
          <w:sz w:val="32"/>
          <w:szCs w:val="32"/>
        </w:rPr>
        <w:t>，减轻当事人诉累。</w:t>
      </w:r>
    </w:p>
    <w:p w:rsidR="009A19FD" w:rsidRPr="001B0625" w:rsidRDefault="009A19FD" w:rsidP="009A19FD">
      <w:pPr>
        <w:ind w:firstLineChars="200" w:firstLine="640"/>
        <w:rPr>
          <w:rFonts w:ascii="仿宋" w:eastAsia="仿宋" w:hAnsi="仿宋" w:cs="宋体"/>
          <w:kern w:val="0"/>
          <w:sz w:val="32"/>
          <w:szCs w:val="32"/>
        </w:rPr>
      </w:pPr>
      <w:r>
        <w:rPr>
          <w:rFonts w:ascii="仿宋" w:eastAsia="仿宋" w:hAnsi="仿宋" w:hint="eastAsia"/>
          <w:bCs/>
          <w:sz w:val="32"/>
          <w:szCs w:val="32"/>
        </w:rPr>
        <w:t>（五）</w:t>
      </w:r>
      <w:r w:rsidRPr="001B0625">
        <w:rPr>
          <w:rFonts w:ascii="仿宋" w:eastAsia="仿宋" w:hAnsi="仿宋" w:hint="eastAsia"/>
          <w:bCs/>
          <w:sz w:val="32"/>
          <w:szCs w:val="32"/>
        </w:rPr>
        <w:t>积极落实诉讼指导和诉讼（执行）风险告知等制度措施，加强对涉林企业和林区群众在起诉、应诉、举证等方面的指导和保全、时效、执行等方面的法律风险提示。积极扩大司法救助范围，</w:t>
      </w:r>
      <w:r w:rsidRPr="001B0625">
        <w:rPr>
          <w:rFonts w:ascii="仿宋" w:eastAsia="仿宋" w:hAnsi="仿宋" w:hint="eastAsia"/>
          <w:kern w:val="0"/>
          <w:sz w:val="32"/>
          <w:szCs w:val="32"/>
        </w:rPr>
        <w:t>对</w:t>
      </w:r>
      <w:r w:rsidRPr="001B0625">
        <w:rPr>
          <w:rFonts w:ascii="仿宋" w:eastAsia="仿宋" w:hAnsi="仿宋"/>
          <w:sz w:val="32"/>
          <w:szCs w:val="32"/>
        </w:rPr>
        <w:t>生产经营</w:t>
      </w:r>
      <w:r w:rsidRPr="001B0625">
        <w:rPr>
          <w:rFonts w:ascii="仿宋" w:eastAsia="仿宋" w:hAnsi="仿宋" w:hint="eastAsia"/>
          <w:kern w:val="0"/>
          <w:sz w:val="32"/>
          <w:szCs w:val="32"/>
        </w:rPr>
        <w:t>确有困难的涉诉企业和困难群众实行减、缓、免诉讼费，做到让困难企业和困难群众没钱诉得起、有理打得赢、赢了快执行。</w:t>
      </w:r>
      <w:r w:rsidRPr="001B0625">
        <w:rPr>
          <w:rFonts w:ascii="仿宋" w:eastAsia="仿宋" w:hAnsi="仿宋" w:hint="eastAsia"/>
          <w:bCs/>
          <w:sz w:val="32"/>
          <w:szCs w:val="32"/>
        </w:rPr>
        <w:t>根据企业的申请，</w:t>
      </w:r>
      <w:r w:rsidRPr="001B0625">
        <w:rPr>
          <w:rFonts w:ascii="仿宋" w:eastAsia="仿宋" w:hAnsi="仿宋" w:hint="eastAsia"/>
          <w:bCs/>
          <w:sz w:val="32"/>
          <w:szCs w:val="32"/>
        </w:rPr>
        <w:lastRenderedPageBreak/>
        <w:t>依法快速采取诉前保全等积极措施，确保案件审结后顺利执行。</w:t>
      </w:r>
    </w:p>
    <w:p w:rsidR="009A19FD" w:rsidRPr="001B0625" w:rsidRDefault="009A19FD" w:rsidP="009A19FD">
      <w:pPr>
        <w:ind w:firstLineChars="200" w:firstLine="640"/>
        <w:rPr>
          <w:rFonts w:ascii="仿宋" w:eastAsia="仿宋" w:hAnsi="仿宋"/>
          <w:sz w:val="32"/>
          <w:szCs w:val="32"/>
        </w:rPr>
      </w:pPr>
      <w:r>
        <w:rPr>
          <w:rFonts w:ascii="仿宋" w:eastAsia="仿宋" w:hAnsi="仿宋" w:hint="eastAsia"/>
          <w:sz w:val="32"/>
          <w:szCs w:val="32"/>
        </w:rPr>
        <w:t>（六）</w:t>
      </w:r>
      <w:r w:rsidRPr="001B0625">
        <w:rPr>
          <w:rFonts w:ascii="仿宋" w:eastAsia="仿宋" w:hAnsi="仿宋" w:cs="宋体"/>
          <w:kern w:val="0"/>
          <w:sz w:val="32"/>
          <w:szCs w:val="32"/>
        </w:rPr>
        <w:t>建立健全</w:t>
      </w:r>
      <w:r w:rsidRPr="001B0625">
        <w:rPr>
          <w:rFonts w:ascii="仿宋" w:eastAsia="仿宋" w:hAnsi="仿宋" w:cs="宋体" w:hint="eastAsia"/>
          <w:kern w:val="0"/>
          <w:sz w:val="32"/>
          <w:szCs w:val="32"/>
        </w:rPr>
        <w:t>沟通协调</w:t>
      </w:r>
      <w:r w:rsidRPr="001B0625">
        <w:rPr>
          <w:rFonts w:ascii="仿宋" w:eastAsia="仿宋" w:hAnsi="仿宋" w:cs="宋体"/>
          <w:kern w:val="0"/>
          <w:sz w:val="32"/>
          <w:szCs w:val="32"/>
        </w:rPr>
        <w:t>机制。</w:t>
      </w:r>
      <w:r w:rsidRPr="001B0625">
        <w:rPr>
          <w:rFonts w:ascii="仿宋" w:eastAsia="仿宋" w:hAnsi="仿宋"/>
          <w:sz w:val="32"/>
          <w:szCs w:val="32"/>
        </w:rPr>
        <w:t>对重大问题事项、重要司法举措，及时</w:t>
      </w:r>
      <w:r w:rsidRPr="001B0625">
        <w:rPr>
          <w:rFonts w:ascii="仿宋" w:eastAsia="仿宋" w:hAnsi="仿宋" w:hint="eastAsia"/>
          <w:sz w:val="32"/>
          <w:szCs w:val="32"/>
        </w:rPr>
        <w:t>征求林业局党委意见，争取</w:t>
      </w:r>
      <w:r w:rsidRPr="001B0625">
        <w:rPr>
          <w:rFonts w:ascii="仿宋" w:eastAsia="仿宋" w:hAnsi="仿宋"/>
          <w:sz w:val="32"/>
          <w:szCs w:val="32"/>
        </w:rPr>
        <w:t>有关部门的协调配合，提升司法服务保障工作的整体成效。</w:t>
      </w:r>
      <w:r w:rsidRPr="001B0625">
        <w:rPr>
          <w:rFonts w:ascii="仿宋" w:eastAsia="仿宋" w:hAnsi="仿宋" w:cs="宋体"/>
          <w:kern w:val="0"/>
          <w:sz w:val="32"/>
          <w:szCs w:val="32"/>
        </w:rPr>
        <w:t>通过定期召开企业负责人座谈会、不定期到企业走访等方式，及时掌握企业生产、经营过程中存在的涉法问题，有针对性地做好司法服务和司法应对</w:t>
      </w:r>
      <w:r w:rsidRPr="001B0625">
        <w:rPr>
          <w:rFonts w:ascii="仿宋" w:eastAsia="仿宋" w:hAnsi="仿宋" w:cs="宋体" w:hint="eastAsia"/>
          <w:kern w:val="0"/>
          <w:sz w:val="32"/>
          <w:szCs w:val="32"/>
        </w:rPr>
        <w:t>。</w:t>
      </w:r>
      <w:r w:rsidRPr="001B0625">
        <w:rPr>
          <w:rFonts w:ascii="仿宋" w:eastAsia="仿宋" w:hAnsi="仿宋" w:cs="宋体"/>
          <w:kern w:val="0"/>
          <w:sz w:val="32"/>
          <w:szCs w:val="32"/>
        </w:rPr>
        <w:t>要把主动上门为企业提供法律服务作为常态性工作机制，积极为企业重大活动提供法律咨询和引导，帮助企业依法经营、依法竞争、依法维权。</w:t>
      </w:r>
      <w:r w:rsidRPr="001B0625">
        <w:rPr>
          <w:rFonts w:ascii="仿宋" w:eastAsia="仿宋" w:hAnsi="仿宋" w:hint="eastAsia"/>
          <w:sz w:val="32"/>
          <w:szCs w:val="32"/>
        </w:rPr>
        <w:t>要按照防范风险和保障收益的原则，在</w:t>
      </w:r>
      <w:r>
        <w:rPr>
          <w:rFonts w:ascii="仿宋" w:eastAsia="仿宋" w:hAnsi="仿宋" w:hint="eastAsia"/>
          <w:sz w:val="32"/>
          <w:szCs w:val="32"/>
        </w:rPr>
        <w:t>林区法院</w:t>
      </w:r>
      <w:r w:rsidRPr="001B0625">
        <w:rPr>
          <w:rFonts w:ascii="仿宋" w:eastAsia="仿宋" w:hAnsi="仿宋" w:hint="eastAsia"/>
          <w:sz w:val="32"/>
          <w:szCs w:val="32"/>
        </w:rPr>
        <w:t>的指导下，制作企业法律风险防范手册，常用合同样式范本，帮助林区企业防范经营风险。</w:t>
      </w:r>
    </w:p>
    <w:p w:rsidR="009A19FD" w:rsidRPr="001B0625" w:rsidRDefault="009A19FD" w:rsidP="009A19FD">
      <w:pPr>
        <w:ind w:firstLineChars="200" w:firstLine="640"/>
        <w:rPr>
          <w:rFonts w:ascii="仿宋" w:eastAsia="仿宋" w:hAnsi="仿宋"/>
          <w:bCs/>
          <w:sz w:val="32"/>
          <w:szCs w:val="32"/>
        </w:rPr>
      </w:pPr>
      <w:r>
        <w:rPr>
          <w:rFonts w:ascii="仿宋" w:eastAsia="仿宋" w:hAnsi="仿宋" w:hint="eastAsia"/>
          <w:bCs/>
          <w:sz w:val="32"/>
          <w:szCs w:val="32"/>
        </w:rPr>
        <w:t>（七）</w:t>
      </w:r>
      <w:r w:rsidRPr="001B0625">
        <w:rPr>
          <w:rFonts w:ascii="仿宋" w:eastAsia="仿宋" w:hAnsi="仿宋" w:hint="eastAsia"/>
          <w:bCs/>
          <w:sz w:val="32"/>
          <w:szCs w:val="32"/>
        </w:rPr>
        <w:t>加大诉讼调解工作力度。要积极参与社会</w:t>
      </w:r>
      <w:r>
        <w:rPr>
          <w:rFonts w:ascii="仿宋" w:eastAsia="仿宋" w:hAnsi="仿宋" w:hint="eastAsia"/>
          <w:bCs/>
          <w:sz w:val="32"/>
          <w:szCs w:val="32"/>
        </w:rPr>
        <w:t>治安</w:t>
      </w:r>
      <w:r w:rsidRPr="001B0625">
        <w:rPr>
          <w:rFonts w:ascii="仿宋" w:eastAsia="仿宋" w:hAnsi="仿宋" w:hint="eastAsia"/>
          <w:bCs/>
          <w:sz w:val="32"/>
          <w:szCs w:val="32"/>
        </w:rPr>
        <w:t>综合治理，以法治与和谐的理念和方式，化解社会矛盾。坚持“调解优先、调判结合”的原则，深入推行“全员、全面、全程”调解工作机制，把调解工作贯穿于诉讼活动的始终，最大限度地实现案结事了。</w:t>
      </w:r>
    </w:p>
    <w:p w:rsidR="009A19FD" w:rsidRPr="001B0625" w:rsidRDefault="009A19FD" w:rsidP="009A19FD">
      <w:pPr>
        <w:ind w:firstLineChars="200" w:firstLine="640"/>
        <w:rPr>
          <w:rFonts w:ascii="仿宋" w:eastAsia="仿宋" w:hAnsi="仿宋"/>
          <w:sz w:val="32"/>
          <w:szCs w:val="32"/>
        </w:rPr>
      </w:pPr>
      <w:r>
        <w:rPr>
          <w:rFonts w:ascii="仿宋" w:eastAsia="仿宋" w:hAnsi="仿宋" w:cs="宋体" w:hint="eastAsia"/>
          <w:kern w:val="0"/>
          <w:sz w:val="32"/>
          <w:szCs w:val="32"/>
        </w:rPr>
        <w:t>（八）</w:t>
      </w:r>
      <w:r w:rsidRPr="001B0625">
        <w:rPr>
          <w:rFonts w:ascii="仿宋" w:eastAsia="仿宋" w:hAnsi="仿宋" w:cs="宋体"/>
          <w:kern w:val="0"/>
          <w:sz w:val="32"/>
          <w:szCs w:val="32"/>
        </w:rPr>
        <w:t>积极推进</w:t>
      </w:r>
      <w:r w:rsidRPr="001B0625">
        <w:rPr>
          <w:rFonts w:ascii="仿宋" w:eastAsia="仿宋" w:hAnsi="仿宋" w:cs="宋体" w:hint="eastAsia"/>
          <w:kern w:val="0"/>
          <w:sz w:val="32"/>
          <w:szCs w:val="32"/>
        </w:rPr>
        <w:t>多元化纠纷解决机制</w:t>
      </w:r>
      <w:r w:rsidRPr="001B0625">
        <w:rPr>
          <w:rFonts w:ascii="仿宋" w:eastAsia="仿宋" w:hAnsi="仿宋" w:cs="宋体"/>
          <w:kern w:val="0"/>
          <w:sz w:val="32"/>
          <w:szCs w:val="32"/>
        </w:rPr>
        <w:t>建设</w:t>
      </w:r>
      <w:r>
        <w:rPr>
          <w:rFonts w:ascii="仿宋" w:eastAsia="仿宋" w:hAnsi="仿宋" w:cs="宋体" w:hint="eastAsia"/>
          <w:kern w:val="0"/>
          <w:sz w:val="32"/>
          <w:szCs w:val="32"/>
        </w:rPr>
        <w:t>。要</w:t>
      </w:r>
      <w:r w:rsidRPr="001B0625">
        <w:rPr>
          <w:rFonts w:ascii="仿宋" w:eastAsia="仿宋" w:hAnsi="仿宋" w:hint="eastAsia"/>
          <w:sz w:val="32"/>
          <w:szCs w:val="32"/>
        </w:rPr>
        <w:t>加强诉调对接工作力度，最大限度地把矛盾化解在萌芽状态、处置在初始阶段</w:t>
      </w:r>
      <w:r w:rsidRPr="001B0625">
        <w:rPr>
          <w:rFonts w:ascii="仿宋" w:eastAsia="仿宋" w:hAnsi="仿宋" w:hint="eastAsia"/>
          <w:bCs/>
          <w:sz w:val="32"/>
          <w:szCs w:val="32"/>
        </w:rPr>
        <w:t>，减少对抗和不稳定因素。</w:t>
      </w:r>
      <w:r w:rsidRPr="001B0625">
        <w:rPr>
          <w:rFonts w:ascii="仿宋" w:eastAsia="仿宋" w:hAnsi="仿宋" w:hint="eastAsia"/>
          <w:sz w:val="32"/>
          <w:szCs w:val="32"/>
        </w:rPr>
        <w:t>要加强多元化纠纷解决机制平台建设，在诉讼服务中心建立诉调对接平台，实施调解组织进驻法院模式，引进调解组织，设置调解室，</w:t>
      </w:r>
      <w:r w:rsidRPr="000815F8">
        <w:rPr>
          <w:rFonts w:ascii="仿宋" w:eastAsia="仿宋" w:hAnsi="仿宋" w:hint="eastAsia"/>
          <w:sz w:val="32"/>
          <w:szCs w:val="32"/>
        </w:rPr>
        <w:t>要在</w:t>
      </w:r>
      <w:r w:rsidRPr="001B0625">
        <w:rPr>
          <w:rFonts w:ascii="仿宋" w:eastAsia="仿宋" w:hAnsi="仿宋" w:hint="eastAsia"/>
          <w:sz w:val="32"/>
          <w:szCs w:val="32"/>
        </w:rPr>
        <w:t>诉</w:t>
      </w:r>
      <w:r w:rsidRPr="001B0625">
        <w:rPr>
          <w:rFonts w:ascii="仿宋" w:eastAsia="仿宋" w:hAnsi="仿宋" w:hint="eastAsia"/>
          <w:sz w:val="32"/>
          <w:szCs w:val="32"/>
        </w:rPr>
        <w:lastRenderedPageBreak/>
        <w:t>前化解林区养老保险、劳动争议、工伤待遇，以及林地清收中林权争议等影响林区社会稳定的案件</w:t>
      </w:r>
      <w:r w:rsidRPr="001B0625">
        <w:rPr>
          <w:rFonts w:ascii="仿宋" w:eastAsia="仿宋" w:hAnsi="仿宋" w:hint="eastAsia"/>
          <w:bCs/>
          <w:sz w:val="32"/>
          <w:szCs w:val="32"/>
        </w:rPr>
        <w:t>，争取把更多的纠纷平息在诉讼之外</w:t>
      </w:r>
      <w:r w:rsidRPr="001B0625">
        <w:rPr>
          <w:rFonts w:ascii="仿宋" w:eastAsia="仿宋" w:hAnsi="仿宋" w:hint="eastAsia"/>
          <w:sz w:val="32"/>
          <w:szCs w:val="32"/>
        </w:rPr>
        <w:t>。</w:t>
      </w:r>
    </w:p>
    <w:p w:rsidR="009A19FD" w:rsidRDefault="009A19FD" w:rsidP="009A19FD">
      <w:pPr>
        <w:ind w:firstLineChars="200" w:firstLine="640"/>
        <w:rPr>
          <w:rFonts w:ascii="仿宋" w:eastAsia="仿宋" w:hAnsi="仿宋"/>
          <w:sz w:val="32"/>
          <w:szCs w:val="32"/>
        </w:rPr>
      </w:pPr>
      <w:r>
        <w:rPr>
          <w:rFonts w:ascii="仿宋" w:eastAsia="仿宋" w:hAnsi="仿宋" w:cs="宋体" w:hint="eastAsia"/>
          <w:kern w:val="0"/>
          <w:sz w:val="32"/>
          <w:szCs w:val="32"/>
        </w:rPr>
        <w:t>（九）</w:t>
      </w:r>
      <w:r w:rsidRPr="001B0625">
        <w:rPr>
          <w:rFonts w:ascii="仿宋" w:eastAsia="仿宋" w:hAnsi="仿宋" w:cs="宋体" w:hint="eastAsia"/>
          <w:kern w:val="0"/>
          <w:sz w:val="32"/>
          <w:szCs w:val="32"/>
        </w:rPr>
        <w:t>充分</w:t>
      </w:r>
      <w:r w:rsidRPr="001B0625">
        <w:rPr>
          <w:rFonts w:ascii="仿宋" w:eastAsia="仿宋" w:hAnsi="仿宋" w:cs="宋体"/>
          <w:kern w:val="0"/>
          <w:sz w:val="32"/>
          <w:szCs w:val="32"/>
        </w:rPr>
        <w:t>发挥司法建议</w:t>
      </w:r>
      <w:r w:rsidRPr="001B0625">
        <w:rPr>
          <w:rFonts w:ascii="仿宋" w:eastAsia="仿宋" w:hAnsi="仿宋" w:cs="宋体" w:hint="eastAsia"/>
          <w:kern w:val="0"/>
          <w:sz w:val="32"/>
          <w:szCs w:val="32"/>
        </w:rPr>
        <w:t>对社会稳定的积极促进</w:t>
      </w:r>
      <w:r w:rsidRPr="001B0625">
        <w:rPr>
          <w:rFonts w:ascii="仿宋" w:eastAsia="仿宋" w:hAnsi="仿宋" w:cs="宋体"/>
          <w:kern w:val="0"/>
          <w:sz w:val="32"/>
          <w:szCs w:val="32"/>
        </w:rPr>
        <w:t>作用。</w:t>
      </w:r>
      <w:r w:rsidRPr="001B0625">
        <w:rPr>
          <w:rFonts w:ascii="仿宋" w:eastAsia="仿宋" w:hAnsi="仿宋" w:cs="宋体" w:hint="eastAsia"/>
          <w:kern w:val="0"/>
          <w:sz w:val="32"/>
          <w:szCs w:val="32"/>
        </w:rPr>
        <w:t>要</w:t>
      </w:r>
      <w:r w:rsidRPr="001B0625">
        <w:rPr>
          <w:rFonts w:ascii="仿宋" w:eastAsia="仿宋" w:hAnsi="仿宋" w:cs="宋体"/>
          <w:kern w:val="0"/>
          <w:sz w:val="32"/>
          <w:szCs w:val="32"/>
        </w:rPr>
        <w:t>围绕经济发展、社会稳定、社会管理、民生民意、安全生产、重大项目建设中发现的普遍性、苗头性、倾向性问题，及时提出司法建议。对有可能引发群体性事件、有可能影响社会稳定的苗头性问题，要及时向</w:t>
      </w:r>
      <w:r w:rsidRPr="001B0625">
        <w:rPr>
          <w:rFonts w:ascii="仿宋" w:eastAsia="仿宋" w:hAnsi="仿宋" w:cs="宋体" w:hint="eastAsia"/>
          <w:kern w:val="0"/>
          <w:sz w:val="32"/>
          <w:szCs w:val="32"/>
        </w:rPr>
        <w:t>林业</w:t>
      </w:r>
      <w:r w:rsidRPr="001B0625">
        <w:rPr>
          <w:rFonts w:ascii="仿宋" w:eastAsia="仿宋" w:hAnsi="仿宋" w:cs="宋体"/>
          <w:kern w:val="0"/>
          <w:sz w:val="32"/>
          <w:szCs w:val="32"/>
        </w:rPr>
        <w:t>党委汇报，向</w:t>
      </w:r>
      <w:r w:rsidRPr="001B0625">
        <w:rPr>
          <w:rFonts w:ascii="仿宋" w:eastAsia="仿宋" w:hAnsi="仿宋" w:cs="宋体" w:hint="eastAsia"/>
          <w:kern w:val="0"/>
          <w:sz w:val="32"/>
          <w:szCs w:val="32"/>
        </w:rPr>
        <w:t>林业</w:t>
      </w:r>
      <w:r w:rsidRPr="001B0625">
        <w:rPr>
          <w:rFonts w:ascii="仿宋" w:eastAsia="仿宋" w:hAnsi="仿宋" w:cs="宋体"/>
          <w:kern w:val="0"/>
          <w:sz w:val="32"/>
          <w:szCs w:val="32"/>
        </w:rPr>
        <w:t>有关部门通报，共同做好防范和化解工作。</w:t>
      </w:r>
    </w:p>
    <w:p w:rsidR="009A19FD" w:rsidRPr="00F70232" w:rsidRDefault="009A19FD" w:rsidP="009A19FD">
      <w:pPr>
        <w:ind w:firstLine="640"/>
        <w:rPr>
          <w:rFonts w:ascii="仿宋" w:eastAsia="仿宋" w:hAnsi="仿宋"/>
          <w:sz w:val="32"/>
          <w:szCs w:val="32"/>
        </w:rPr>
      </w:pPr>
      <w:r w:rsidRPr="00F70232">
        <w:rPr>
          <w:rFonts w:ascii="仿宋" w:eastAsia="仿宋" w:hAnsi="仿宋" w:hint="eastAsia"/>
          <w:bCs/>
          <w:sz w:val="32"/>
          <w:szCs w:val="32"/>
        </w:rPr>
        <w:t>（十）</w:t>
      </w:r>
      <w:r w:rsidRPr="00F70232">
        <w:rPr>
          <w:rFonts w:ascii="仿宋" w:eastAsia="仿宋" w:hAnsi="仿宋" w:hint="eastAsia"/>
          <w:sz w:val="32"/>
          <w:szCs w:val="32"/>
        </w:rPr>
        <w:t>在提供司法服务过程中，应当针对林区社会的特点，</w:t>
      </w:r>
      <w:r>
        <w:rPr>
          <w:rFonts w:ascii="仿宋" w:eastAsia="仿宋" w:hAnsi="仿宋" w:hint="eastAsia"/>
          <w:bCs/>
          <w:sz w:val="32"/>
          <w:szCs w:val="32"/>
        </w:rPr>
        <w:t>提供优质高效的司法服务，但应当</w:t>
      </w:r>
      <w:r w:rsidRPr="00F70232">
        <w:rPr>
          <w:rFonts w:ascii="仿宋" w:eastAsia="仿宋" w:hAnsi="仿宋" w:hint="eastAsia"/>
          <w:sz w:val="32"/>
          <w:szCs w:val="32"/>
        </w:rPr>
        <w:t>注意：</w:t>
      </w:r>
    </w:p>
    <w:p w:rsidR="009A19FD" w:rsidRPr="00F70232" w:rsidRDefault="009A19FD" w:rsidP="009A19FD">
      <w:pPr>
        <w:ind w:firstLine="640"/>
        <w:rPr>
          <w:rFonts w:ascii="仿宋" w:eastAsia="仿宋" w:hAnsi="仿宋"/>
          <w:sz w:val="32"/>
          <w:szCs w:val="32"/>
        </w:rPr>
      </w:pPr>
      <w:r w:rsidRPr="00F70232">
        <w:rPr>
          <w:rFonts w:ascii="仿宋" w:eastAsia="仿宋" w:hAnsi="仿宋" w:hint="eastAsia"/>
          <w:sz w:val="32"/>
          <w:szCs w:val="32"/>
        </w:rPr>
        <w:t>一是在审判思想理念上，应当以树立规则意识重点。没有规矩，不成方圆，树立正确的规则意识是养成健康的交易习惯和经济发展方式的关键。</w:t>
      </w:r>
    </w:p>
    <w:p w:rsidR="009A19FD" w:rsidRPr="00F70232" w:rsidRDefault="009A19FD" w:rsidP="009A19FD">
      <w:pPr>
        <w:ind w:firstLineChars="200" w:firstLine="640"/>
        <w:rPr>
          <w:rFonts w:ascii="仿宋" w:eastAsia="仿宋" w:hAnsi="仿宋"/>
          <w:sz w:val="32"/>
          <w:szCs w:val="32"/>
        </w:rPr>
      </w:pPr>
      <w:r w:rsidRPr="00F70232">
        <w:rPr>
          <w:rFonts w:ascii="仿宋" w:eastAsia="仿宋" w:hAnsi="仿宋" w:hint="eastAsia"/>
          <w:sz w:val="32"/>
          <w:szCs w:val="32"/>
        </w:rPr>
        <w:t>二是要正视地域差别、利用比较优势，有效的开展各项司法服务工作。地域的差别并不影响案件审判工作的同质化，人民法院在审判工作中应当正视地域差别，有针对性的作出司法裁判，通过个案的裁判，实现社会效果的实质公平。</w:t>
      </w:r>
    </w:p>
    <w:p w:rsidR="009A19FD" w:rsidRDefault="009A19FD" w:rsidP="009A19FD"/>
    <w:p w:rsidR="00827DF6" w:rsidRDefault="002F17A3" w:rsidP="00DE4BB2">
      <w:pPr>
        <w:rPr>
          <w:rFonts w:ascii="仿宋" w:eastAsia="仿宋" w:hAnsi="仿宋"/>
          <w:sz w:val="32"/>
          <w:szCs w:val="32"/>
        </w:rPr>
      </w:pPr>
      <w:r>
        <w:rPr>
          <w:rFonts w:ascii="仿宋" w:eastAsia="仿宋" w:hAnsi="仿宋" w:hint="eastAsia"/>
          <w:sz w:val="32"/>
          <w:szCs w:val="32"/>
        </w:rPr>
        <w:t>江源林区基层法院</w:t>
      </w:r>
      <w:r w:rsidR="00E708D7">
        <w:rPr>
          <w:rFonts w:ascii="仿宋" w:eastAsia="仿宋" w:hAnsi="仿宋" w:hint="eastAsia"/>
          <w:sz w:val="32"/>
          <w:szCs w:val="32"/>
        </w:rPr>
        <w:t>司法统计分析</w:t>
      </w:r>
      <w:r>
        <w:rPr>
          <w:rFonts w:ascii="仿宋" w:eastAsia="仿宋" w:hAnsi="仿宋" w:hint="eastAsia"/>
          <w:sz w:val="32"/>
          <w:szCs w:val="32"/>
        </w:rPr>
        <w:t>课题组成员</w:t>
      </w:r>
      <w:r w:rsidR="00DE4BB2">
        <w:rPr>
          <w:rFonts w:ascii="仿宋" w:eastAsia="仿宋" w:hAnsi="仿宋" w:hint="eastAsia"/>
          <w:sz w:val="32"/>
          <w:szCs w:val="32"/>
        </w:rPr>
        <w:t xml:space="preserve"> </w:t>
      </w:r>
    </w:p>
    <w:p w:rsidR="002F17A3" w:rsidRDefault="002F17A3" w:rsidP="00F92C1A">
      <w:pPr>
        <w:ind w:firstLineChars="100" w:firstLine="320"/>
        <w:rPr>
          <w:rFonts w:ascii="仿宋" w:eastAsia="仿宋" w:hAnsi="仿宋"/>
          <w:sz w:val="32"/>
          <w:szCs w:val="32"/>
        </w:rPr>
      </w:pPr>
      <w:r>
        <w:rPr>
          <w:rFonts w:ascii="仿宋" w:eastAsia="仿宋" w:hAnsi="仿宋" w:hint="eastAsia"/>
          <w:sz w:val="32"/>
          <w:szCs w:val="32"/>
        </w:rPr>
        <w:t>刘典国</w:t>
      </w:r>
      <w:r w:rsidR="00827DF6">
        <w:rPr>
          <w:rFonts w:ascii="仿宋" w:eastAsia="仿宋" w:hAnsi="仿宋" w:hint="eastAsia"/>
          <w:sz w:val="32"/>
          <w:szCs w:val="32"/>
        </w:rPr>
        <w:t xml:space="preserve"> </w:t>
      </w:r>
      <w:r>
        <w:rPr>
          <w:rFonts w:ascii="仿宋" w:eastAsia="仿宋" w:hAnsi="仿宋" w:hint="eastAsia"/>
          <w:sz w:val="32"/>
          <w:szCs w:val="32"/>
        </w:rPr>
        <w:t>黎国政  景</w:t>
      </w:r>
      <w:r w:rsidR="00827DF6">
        <w:rPr>
          <w:rFonts w:ascii="仿宋" w:eastAsia="仿宋" w:hAnsi="仿宋" w:hint="eastAsia"/>
          <w:sz w:val="32"/>
          <w:szCs w:val="32"/>
        </w:rPr>
        <w:t xml:space="preserve"> </w:t>
      </w:r>
      <w:r>
        <w:rPr>
          <w:rFonts w:ascii="仿宋" w:eastAsia="仿宋" w:hAnsi="仿宋" w:hint="eastAsia"/>
          <w:sz w:val="32"/>
          <w:szCs w:val="32"/>
        </w:rPr>
        <w:t>非</w:t>
      </w:r>
      <w:r w:rsidR="00DE4BB2">
        <w:rPr>
          <w:rFonts w:ascii="仿宋" w:eastAsia="仿宋" w:hAnsi="仿宋" w:hint="eastAsia"/>
          <w:sz w:val="32"/>
          <w:szCs w:val="32"/>
        </w:rPr>
        <w:t xml:space="preserve"> 张俊韬</w:t>
      </w:r>
      <w:r w:rsidR="00827DF6">
        <w:rPr>
          <w:rFonts w:ascii="仿宋" w:eastAsia="仿宋" w:hAnsi="仿宋" w:hint="eastAsia"/>
          <w:sz w:val="32"/>
          <w:szCs w:val="32"/>
        </w:rPr>
        <w:t xml:space="preserve">  </w:t>
      </w:r>
      <w:r>
        <w:rPr>
          <w:rFonts w:ascii="仿宋" w:eastAsia="仿宋" w:hAnsi="仿宋" w:hint="eastAsia"/>
          <w:sz w:val="32"/>
          <w:szCs w:val="32"/>
        </w:rPr>
        <w:t>李</w:t>
      </w:r>
      <w:r w:rsidR="00827DF6">
        <w:rPr>
          <w:rFonts w:ascii="仿宋" w:eastAsia="仿宋" w:hAnsi="仿宋" w:hint="eastAsia"/>
          <w:sz w:val="32"/>
          <w:szCs w:val="32"/>
        </w:rPr>
        <w:t xml:space="preserve"> </w:t>
      </w:r>
      <w:r>
        <w:rPr>
          <w:rFonts w:ascii="仿宋" w:eastAsia="仿宋" w:hAnsi="仿宋" w:hint="eastAsia"/>
          <w:sz w:val="32"/>
          <w:szCs w:val="32"/>
        </w:rPr>
        <w:t>君  陈易滢  杨</w:t>
      </w:r>
      <w:r w:rsidR="00827DF6">
        <w:rPr>
          <w:rFonts w:ascii="仿宋" w:eastAsia="仿宋" w:hAnsi="仿宋" w:hint="eastAsia"/>
          <w:sz w:val="32"/>
          <w:szCs w:val="32"/>
        </w:rPr>
        <w:t xml:space="preserve"> </w:t>
      </w:r>
      <w:r>
        <w:rPr>
          <w:rFonts w:ascii="仿宋" w:eastAsia="仿宋" w:hAnsi="仿宋" w:hint="eastAsia"/>
          <w:sz w:val="32"/>
          <w:szCs w:val="32"/>
        </w:rPr>
        <w:t xml:space="preserve">军  </w:t>
      </w:r>
    </w:p>
    <w:p w:rsidR="00827DF6" w:rsidRDefault="00F92C1A" w:rsidP="00F92C1A">
      <w:pPr>
        <w:ind w:firstLineChars="100" w:firstLine="320"/>
        <w:rPr>
          <w:rFonts w:ascii="仿宋" w:eastAsia="仿宋" w:hAnsi="仿宋"/>
          <w:sz w:val="32"/>
          <w:szCs w:val="32"/>
        </w:rPr>
      </w:pPr>
      <w:r>
        <w:rPr>
          <w:rFonts w:ascii="仿宋" w:eastAsia="仿宋" w:hAnsi="仿宋" w:hint="eastAsia"/>
          <w:sz w:val="32"/>
          <w:szCs w:val="32"/>
        </w:rPr>
        <w:t>执笔人：张俊韬</w:t>
      </w:r>
    </w:p>
    <w:p w:rsidR="00B44E75" w:rsidRPr="002F17A3" w:rsidRDefault="00B44E75" w:rsidP="002F17A3">
      <w:pPr>
        <w:ind w:firstLineChars="1100" w:firstLine="3520"/>
        <w:rPr>
          <w:rFonts w:ascii="仿宋" w:eastAsia="仿宋" w:hAnsi="仿宋"/>
          <w:sz w:val="32"/>
          <w:szCs w:val="32"/>
        </w:rPr>
      </w:pPr>
    </w:p>
    <w:sectPr w:rsidR="00B44E75" w:rsidRPr="002F17A3" w:rsidSect="00AE3B4C">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5E0" w:rsidRDefault="006525E0" w:rsidP="009A19FD">
      <w:r>
        <w:separator/>
      </w:r>
    </w:p>
  </w:endnote>
  <w:endnote w:type="continuationSeparator" w:id="1">
    <w:p w:rsidR="006525E0" w:rsidRDefault="006525E0" w:rsidP="009A19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1746"/>
      <w:docPartObj>
        <w:docPartGallery w:val="Page Numbers (Bottom of Page)"/>
        <w:docPartUnique/>
      </w:docPartObj>
    </w:sdtPr>
    <w:sdtContent>
      <w:p w:rsidR="002F17A3" w:rsidRDefault="00C345DD">
        <w:pPr>
          <w:pStyle w:val="a4"/>
          <w:jc w:val="center"/>
        </w:pPr>
        <w:fldSimple w:instr=" PAGE   \* MERGEFORMAT ">
          <w:r w:rsidR="00E43B34" w:rsidRPr="00E43B34">
            <w:rPr>
              <w:noProof/>
              <w:lang w:val="zh-CN"/>
            </w:rPr>
            <w:t>27</w:t>
          </w:r>
        </w:fldSimple>
      </w:p>
    </w:sdtContent>
  </w:sdt>
  <w:p w:rsidR="002F17A3" w:rsidRDefault="002F17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5E0" w:rsidRDefault="006525E0" w:rsidP="009A19FD">
      <w:r>
        <w:separator/>
      </w:r>
    </w:p>
  </w:footnote>
  <w:footnote w:type="continuationSeparator" w:id="1">
    <w:p w:rsidR="006525E0" w:rsidRDefault="006525E0" w:rsidP="009A19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9FD"/>
    <w:rsid w:val="00061046"/>
    <w:rsid w:val="000A7FF4"/>
    <w:rsid w:val="001965D0"/>
    <w:rsid w:val="001D6D6A"/>
    <w:rsid w:val="001F0E58"/>
    <w:rsid w:val="00295257"/>
    <w:rsid w:val="002B26F9"/>
    <w:rsid w:val="002F17A3"/>
    <w:rsid w:val="002F1FC9"/>
    <w:rsid w:val="003D6A49"/>
    <w:rsid w:val="00513BB3"/>
    <w:rsid w:val="005A1DE9"/>
    <w:rsid w:val="006525E0"/>
    <w:rsid w:val="00656A1A"/>
    <w:rsid w:val="00697180"/>
    <w:rsid w:val="006B12C4"/>
    <w:rsid w:val="00704389"/>
    <w:rsid w:val="0070512D"/>
    <w:rsid w:val="007071CD"/>
    <w:rsid w:val="007816A5"/>
    <w:rsid w:val="007E1B42"/>
    <w:rsid w:val="007F37BE"/>
    <w:rsid w:val="007F5315"/>
    <w:rsid w:val="00827DF6"/>
    <w:rsid w:val="008C128D"/>
    <w:rsid w:val="008E5CEB"/>
    <w:rsid w:val="009A19FD"/>
    <w:rsid w:val="009A3977"/>
    <w:rsid w:val="00AC6977"/>
    <w:rsid w:val="00AE3B4C"/>
    <w:rsid w:val="00B44E75"/>
    <w:rsid w:val="00BA64F9"/>
    <w:rsid w:val="00BB07D9"/>
    <w:rsid w:val="00BF37CE"/>
    <w:rsid w:val="00C345DD"/>
    <w:rsid w:val="00CA2551"/>
    <w:rsid w:val="00CF53AD"/>
    <w:rsid w:val="00D34D09"/>
    <w:rsid w:val="00D40A3F"/>
    <w:rsid w:val="00DE4BB2"/>
    <w:rsid w:val="00E43B34"/>
    <w:rsid w:val="00E708D7"/>
    <w:rsid w:val="00E72793"/>
    <w:rsid w:val="00EA65C9"/>
    <w:rsid w:val="00F44A51"/>
    <w:rsid w:val="00F92C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9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19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A19FD"/>
    <w:rPr>
      <w:sz w:val="18"/>
      <w:szCs w:val="18"/>
    </w:rPr>
  </w:style>
  <w:style w:type="paragraph" w:styleId="a4">
    <w:name w:val="footer"/>
    <w:basedOn w:val="a"/>
    <w:link w:val="Char0"/>
    <w:uiPriority w:val="99"/>
    <w:unhideWhenUsed/>
    <w:rsid w:val="009A19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19FD"/>
    <w:rPr>
      <w:sz w:val="18"/>
      <w:szCs w:val="18"/>
    </w:rPr>
  </w:style>
  <w:style w:type="paragraph" w:styleId="a5">
    <w:name w:val="Normal (Web)"/>
    <w:basedOn w:val="a"/>
    <w:semiHidden/>
    <w:unhideWhenUsed/>
    <w:rsid w:val="009A19FD"/>
    <w:pPr>
      <w:widowControl/>
      <w:spacing w:before="100" w:beforeAutospacing="1" w:after="100" w:afterAutospacing="1"/>
      <w:jc w:val="left"/>
    </w:pPr>
    <w:rPr>
      <w:rFonts w:ascii="宋体" w:hAnsi="宋体" w:cs="宋体"/>
      <w:kern w:val="0"/>
      <w:sz w:val="24"/>
      <w:szCs w:val="24"/>
    </w:rPr>
  </w:style>
  <w:style w:type="paragraph" w:customStyle="1" w:styleId="a6">
    <w:name w:val="正文样式"/>
    <w:basedOn w:val="a"/>
    <w:link w:val="Char1"/>
    <w:qFormat/>
    <w:rsid w:val="009A19FD"/>
    <w:pPr>
      <w:spacing w:line="360" w:lineRule="auto"/>
      <w:jc w:val="left"/>
    </w:pPr>
    <w:rPr>
      <w:rFonts w:ascii="Times New Roman" w:hAnsi="Times New Roman"/>
      <w:kern w:val="0"/>
      <w:szCs w:val="24"/>
    </w:rPr>
  </w:style>
  <w:style w:type="character" w:customStyle="1" w:styleId="Char1">
    <w:name w:val="正文样式 Char"/>
    <w:link w:val="a6"/>
    <w:rsid w:val="009A19FD"/>
    <w:rPr>
      <w:rFonts w:ascii="Times New Roman" w:eastAsia="宋体" w:hAnsi="Times New Roman" w:cs="Times New Roman"/>
      <w:kern w:val="0"/>
      <w:szCs w:val="24"/>
    </w:rPr>
  </w:style>
  <w:style w:type="character" w:styleId="a7">
    <w:name w:val="Strong"/>
    <w:qFormat/>
    <w:rsid w:val="009A19FD"/>
    <w:rPr>
      <w:b/>
      <w:bCs/>
    </w:rPr>
  </w:style>
  <w:style w:type="paragraph" w:styleId="a8">
    <w:name w:val="Balloon Text"/>
    <w:basedOn w:val="a"/>
    <w:link w:val="Char2"/>
    <w:uiPriority w:val="99"/>
    <w:semiHidden/>
    <w:unhideWhenUsed/>
    <w:rsid w:val="009A19FD"/>
    <w:rPr>
      <w:sz w:val="18"/>
      <w:szCs w:val="18"/>
    </w:rPr>
  </w:style>
  <w:style w:type="character" w:customStyle="1" w:styleId="Char2">
    <w:name w:val="批注框文本 Char"/>
    <w:basedOn w:val="a0"/>
    <w:link w:val="a8"/>
    <w:uiPriority w:val="99"/>
    <w:semiHidden/>
    <w:rsid w:val="009A19F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0344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ettings" Target="settings.xml"/><Relationship Id="rId16" Type="http://schemas.openxmlformats.org/officeDocument/2006/relationships/chart" Target="charts/chart1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__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__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__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bar3DChart>
        <c:barDir val="col"/>
        <c:grouping val="clustered"/>
        <c:ser>
          <c:idx val="0"/>
          <c:order val="0"/>
          <c:tx>
            <c:strRef>
              <c:f>Sheet1!$B$1</c:f>
              <c:strCache>
                <c:ptCount val="1"/>
                <c:pt idx="0">
                  <c:v>年度民商收案</c:v>
                </c:pt>
              </c:strCache>
            </c:strRef>
          </c:tx>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38</c:v>
                </c:pt>
                <c:pt idx="1">
                  <c:v>26</c:v>
                </c:pt>
                <c:pt idx="2">
                  <c:v>43</c:v>
                </c:pt>
                <c:pt idx="3">
                  <c:v>80</c:v>
                </c:pt>
                <c:pt idx="4">
                  <c:v>75</c:v>
                </c:pt>
              </c:numCache>
            </c:numRef>
          </c:val>
        </c:ser>
        <c:ser>
          <c:idx val="1"/>
          <c:order val="1"/>
          <c:tx>
            <c:strRef>
              <c:f>Sheet1!$C$1</c:f>
              <c:strCache>
                <c:ptCount val="1"/>
                <c:pt idx="0">
                  <c:v>年度涉企收案</c:v>
                </c:pt>
              </c:strCache>
            </c:strRef>
          </c:tx>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10</c:v>
                </c:pt>
                <c:pt idx="1">
                  <c:v>4</c:v>
                </c:pt>
                <c:pt idx="2">
                  <c:v>10</c:v>
                </c:pt>
                <c:pt idx="3">
                  <c:v>18</c:v>
                </c:pt>
                <c:pt idx="4">
                  <c:v>8</c:v>
                </c:pt>
              </c:numCache>
            </c:numRef>
          </c:val>
        </c:ser>
        <c:ser>
          <c:idx val="2"/>
          <c:order val="2"/>
          <c:tx>
            <c:strRef>
              <c:f>Sheet1!$D$1</c:f>
              <c:strCache>
                <c:ptCount val="1"/>
                <c:pt idx="0">
                  <c:v>列1</c:v>
                </c:pt>
              </c:strCache>
            </c:strRef>
          </c:tx>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numCache>
            </c:numRef>
          </c:val>
        </c:ser>
        <c:shape val="cylinder"/>
        <c:axId val="130869888"/>
        <c:axId val="131010944"/>
        <c:axId val="0"/>
      </c:bar3DChart>
      <c:catAx>
        <c:axId val="130869888"/>
        <c:scaling>
          <c:orientation val="minMax"/>
        </c:scaling>
        <c:axPos val="b"/>
        <c:numFmt formatCode="General" sourceLinked="1"/>
        <c:tickLblPos val="nextTo"/>
        <c:crossAx val="131010944"/>
        <c:crosses val="autoZero"/>
        <c:auto val="1"/>
        <c:lblAlgn val="ctr"/>
        <c:lblOffset val="100"/>
      </c:catAx>
      <c:valAx>
        <c:axId val="131010944"/>
        <c:scaling>
          <c:orientation val="minMax"/>
        </c:scaling>
        <c:axPos val="l"/>
        <c:majorGridlines/>
        <c:numFmt formatCode="General" sourceLinked="1"/>
        <c:tickLblPos val="nextTo"/>
        <c:crossAx val="130869888"/>
        <c:crosses val="autoZero"/>
        <c:crossBetween val="between"/>
      </c:valAx>
    </c:plotArea>
    <c:legend>
      <c:legendPos val="r"/>
      <c:legendEntry>
        <c:idx val="2"/>
        <c:delete val="1"/>
      </c:legendEntry>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bar3DChart>
        <c:barDir val="col"/>
        <c:grouping val="stacked"/>
        <c:ser>
          <c:idx val="0"/>
          <c:order val="0"/>
          <c:tx>
            <c:strRef>
              <c:f>Sheet1!$B$1</c:f>
              <c:strCache>
                <c:ptCount val="1"/>
                <c:pt idx="0">
                  <c:v>系列 1</c:v>
                </c:pt>
              </c:strCache>
            </c:strRef>
          </c:tx>
          <c:cat>
            <c:strRef>
              <c:f>Sheet1!$A$2:$A$5</c:f>
              <c:strCache>
                <c:ptCount val="3"/>
                <c:pt idx="0">
                  <c:v>涉林国有企业参加诉讼的合同类纠纷</c:v>
                </c:pt>
                <c:pt idx="1">
                  <c:v>辖区内的供热企业（民营）</c:v>
                </c:pt>
                <c:pt idx="2">
                  <c:v>公民之间涉林承包合同纠纷</c:v>
                </c:pt>
              </c:strCache>
            </c:strRef>
          </c:cat>
          <c:val>
            <c:numRef>
              <c:f>Sheet1!$B$2:$B$5</c:f>
              <c:numCache>
                <c:formatCode>General</c:formatCode>
                <c:ptCount val="4"/>
                <c:pt idx="0">
                  <c:v>16</c:v>
                </c:pt>
                <c:pt idx="1">
                  <c:v>3</c:v>
                </c:pt>
                <c:pt idx="2">
                  <c:v>1</c:v>
                </c:pt>
              </c:numCache>
            </c:numRef>
          </c:val>
        </c:ser>
        <c:ser>
          <c:idx val="1"/>
          <c:order val="1"/>
          <c:tx>
            <c:strRef>
              <c:f>Sheet1!$C$1</c:f>
              <c:strCache>
                <c:ptCount val="1"/>
                <c:pt idx="0">
                  <c:v>列2</c:v>
                </c:pt>
              </c:strCache>
            </c:strRef>
          </c:tx>
          <c:cat>
            <c:strRef>
              <c:f>Sheet1!$A$2:$A$5</c:f>
              <c:strCache>
                <c:ptCount val="3"/>
                <c:pt idx="0">
                  <c:v>涉林国有企业参加诉讼的合同类纠纷</c:v>
                </c:pt>
                <c:pt idx="1">
                  <c:v>辖区内的供热企业（民营）</c:v>
                </c:pt>
                <c:pt idx="2">
                  <c:v>公民之间涉林承包合同纠纷</c:v>
                </c:pt>
              </c:strCache>
            </c:strRef>
          </c:cat>
          <c:val>
            <c:numRef>
              <c:f>Sheet1!$C$2:$C$5</c:f>
              <c:numCache>
                <c:formatCode>General</c:formatCode>
                <c:ptCount val="4"/>
              </c:numCache>
            </c:numRef>
          </c:val>
        </c:ser>
        <c:ser>
          <c:idx val="2"/>
          <c:order val="2"/>
          <c:tx>
            <c:strRef>
              <c:f>Sheet1!$D$1</c:f>
              <c:strCache>
                <c:ptCount val="1"/>
                <c:pt idx="0">
                  <c:v>列3</c:v>
                </c:pt>
              </c:strCache>
            </c:strRef>
          </c:tx>
          <c:cat>
            <c:strRef>
              <c:f>Sheet1!$A$2:$A$5</c:f>
              <c:strCache>
                <c:ptCount val="3"/>
                <c:pt idx="0">
                  <c:v>涉林国有企业参加诉讼的合同类纠纷</c:v>
                </c:pt>
                <c:pt idx="1">
                  <c:v>辖区内的供热企业（民营）</c:v>
                </c:pt>
                <c:pt idx="2">
                  <c:v>公民之间涉林承包合同纠纷</c:v>
                </c:pt>
              </c:strCache>
            </c:strRef>
          </c:cat>
          <c:val>
            <c:numRef>
              <c:f>Sheet1!$D$2:$D$5</c:f>
              <c:numCache>
                <c:formatCode>General</c:formatCode>
                <c:ptCount val="4"/>
              </c:numCache>
            </c:numRef>
          </c:val>
        </c:ser>
        <c:shape val="cone"/>
        <c:axId val="129628416"/>
        <c:axId val="129679360"/>
        <c:axId val="0"/>
      </c:bar3DChart>
      <c:catAx>
        <c:axId val="129628416"/>
        <c:scaling>
          <c:orientation val="minMax"/>
        </c:scaling>
        <c:axPos val="b"/>
        <c:numFmt formatCode="General" sourceLinked="1"/>
        <c:tickLblPos val="nextTo"/>
        <c:crossAx val="129679360"/>
        <c:crosses val="autoZero"/>
        <c:auto val="1"/>
        <c:lblAlgn val="ctr"/>
        <c:lblOffset val="100"/>
      </c:catAx>
      <c:valAx>
        <c:axId val="129679360"/>
        <c:scaling>
          <c:orientation val="minMax"/>
        </c:scaling>
        <c:axPos val="l"/>
        <c:majorGridlines/>
        <c:numFmt formatCode="General" sourceLinked="1"/>
        <c:tickLblPos val="nextTo"/>
        <c:crossAx val="129628416"/>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22208042379003129"/>
          <c:y val="2.8895768833849342E-2"/>
        </c:manualLayout>
      </c:layout>
    </c:title>
    <c:plotArea>
      <c:layout/>
      <c:doughnutChart>
        <c:varyColors val="1"/>
        <c:ser>
          <c:idx val="0"/>
          <c:order val="0"/>
          <c:tx>
            <c:strRef>
              <c:f>Sheet1!$B$1</c:f>
              <c:strCache>
                <c:ptCount val="1"/>
                <c:pt idx="0">
                  <c:v>参加诉讼的法律结果来划分</c:v>
                </c:pt>
              </c:strCache>
            </c:strRef>
          </c:tx>
          <c:cat>
            <c:strRef>
              <c:f>Sheet1!$A$2:$A$5</c:f>
              <c:strCache>
                <c:ptCount val="4"/>
                <c:pt idx="0">
                  <c:v>涉林企业胜诉的案件</c:v>
                </c:pt>
                <c:pt idx="1">
                  <c:v>涉林企业败诉案件</c:v>
                </c:pt>
                <c:pt idx="2">
                  <c:v>涉林企业作为原告撤诉合同类纠纷案件</c:v>
                </c:pt>
                <c:pt idx="3">
                  <c:v>起诉涉林企业撤诉的合同类纠纷案件</c:v>
                </c:pt>
              </c:strCache>
            </c:strRef>
          </c:cat>
          <c:val>
            <c:numRef>
              <c:f>Sheet1!$B$2:$B$5</c:f>
              <c:numCache>
                <c:formatCode>General</c:formatCode>
                <c:ptCount val="4"/>
                <c:pt idx="0">
                  <c:v>7</c:v>
                </c:pt>
                <c:pt idx="1">
                  <c:v>5</c:v>
                </c:pt>
                <c:pt idx="2">
                  <c:v>5</c:v>
                </c:pt>
                <c:pt idx="3">
                  <c:v>2</c:v>
                </c:pt>
              </c:numCache>
            </c:numRef>
          </c:val>
        </c:ser>
        <c:firstSliceAng val="0"/>
        <c:holeSize val="50"/>
      </c:doughnutChart>
    </c:plotArea>
    <c:legend>
      <c:legendPos val="r"/>
    </c:legend>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按参加诉讼的企业类型划分</c:v>
                </c:pt>
              </c:strCache>
            </c:strRef>
          </c:tx>
          <c:cat>
            <c:strRef>
              <c:f>Sheet1!$A$2:$A$5</c:f>
              <c:strCache>
                <c:ptCount val="3"/>
                <c:pt idx="0">
                  <c:v>涉林企业作为被告参加诉讼的侵权类案件</c:v>
                </c:pt>
                <c:pt idx="1">
                  <c:v>涉林企业控股的医院作为被告参加诉讼的侵权类纠纷案件</c:v>
                </c:pt>
                <c:pt idx="2">
                  <c:v>涉林企业辖区内的供热企业作为被告参加诉讼的侵权纠纷案件</c:v>
                </c:pt>
              </c:strCache>
            </c:strRef>
          </c:cat>
          <c:val>
            <c:numRef>
              <c:f>Sheet1!$B$2:$B$5</c:f>
              <c:numCache>
                <c:formatCode>0.00%</c:formatCode>
                <c:ptCount val="4"/>
                <c:pt idx="0">
                  <c:v>0.5</c:v>
                </c:pt>
                <c:pt idx="1">
                  <c:v>0.37500000000000072</c:v>
                </c:pt>
                <c:pt idx="2">
                  <c:v>0.125</c:v>
                </c:pt>
              </c:numCache>
            </c:numRef>
          </c:val>
        </c:ser>
        <c:firstSliceAng val="0"/>
      </c:pieChart>
    </c:plotArea>
    <c:legend>
      <c:legendPos val="r"/>
      <c:legendEntry>
        <c:idx val="3"/>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民商案件类型构成图</c:v>
                </c:pt>
              </c:strCache>
            </c:strRef>
          </c:tx>
          <c:cat>
            <c:strRef>
              <c:f>Sheet1!$A$2:$A$5</c:f>
              <c:strCache>
                <c:ptCount val="4"/>
                <c:pt idx="0">
                  <c:v>合同纠纷</c:v>
                </c:pt>
                <c:pt idx="1">
                  <c:v>侵权责任纠纷</c:v>
                </c:pt>
                <c:pt idx="2">
                  <c:v>劳动争议纠纷</c:v>
                </c:pt>
                <c:pt idx="3">
                  <c:v>物权纠纷</c:v>
                </c:pt>
              </c:strCache>
            </c:strRef>
          </c:cat>
          <c:val>
            <c:numRef>
              <c:f>Sheet1!$B$2:$B$5</c:f>
              <c:numCache>
                <c:formatCode>General</c:formatCode>
                <c:ptCount val="4"/>
                <c:pt idx="0">
                  <c:v>25</c:v>
                </c:pt>
                <c:pt idx="1">
                  <c:v>25</c:v>
                </c:pt>
                <c:pt idx="2">
                  <c:v>25</c:v>
                </c:pt>
                <c:pt idx="3">
                  <c:v>25</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物权类纠纷</c:v>
                </c:pt>
              </c:strCache>
            </c:strRef>
          </c:tx>
          <c:dLbls>
            <c:dLbl>
              <c:idx val="0"/>
              <c:layout>
                <c:manualLayout>
                  <c:x val="-8.6394239246460697E-2"/>
                  <c:y val="-6.824667040458951E-2"/>
                </c:manualLayout>
              </c:layout>
              <c:tx>
                <c:rich>
                  <a:bodyPr/>
                  <a:lstStyle/>
                  <a:p>
                    <a:r>
                      <a:rPr lang="en-US" altLang="en-US"/>
                      <a:t>5</a:t>
                    </a:r>
                    <a:r>
                      <a:rPr lang="zh-CN" altLang="en-US"/>
                      <a:t>件</a:t>
                    </a:r>
                    <a:endParaRPr lang="en-US" altLang="en-US"/>
                  </a:p>
                </c:rich>
              </c:tx>
              <c:showVal val="1"/>
            </c:dLbl>
            <c:dLbl>
              <c:idx val="1"/>
              <c:layout>
                <c:manualLayout>
                  <c:x val="0.12596529214248037"/>
                  <c:y val="4.6803019591591312E-2"/>
                </c:manualLayout>
              </c:layout>
              <c:tx>
                <c:rich>
                  <a:bodyPr/>
                  <a:lstStyle/>
                  <a:p>
                    <a:r>
                      <a:rPr lang="en-US" altLang="en-US"/>
                      <a:t>3</a:t>
                    </a:r>
                    <a:r>
                      <a:rPr lang="zh-CN" altLang="en-US"/>
                      <a:t>件</a:t>
                    </a:r>
                    <a:endParaRPr lang="en-US" altLang="en-US"/>
                  </a:p>
                </c:rich>
              </c:tx>
              <c:showVal val="1"/>
            </c:dLbl>
            <c:showVal val="1"/>
            <c:showLeaderLines val="1"/>
          </c:dLbls>
          <c:cat>
            <c:strRef>
              <c:f>Sheet1!$A$2:$A$3</c:f>
              <c:strCache>
                <c:ptCount val="2"/>
                <c:pt idx="0">
                  <c:v>财产损害赔偿纠纷</c:v>
                </c:pt>
                <c:pt idx="1">
                  <c:v>物权保护排除妨害纠纷</c:v>
                </c:pt>
              </c:strCache>
            </c:strRef>
          </c:cat>
          <c:val>
            <c:numRef>
              <c:f>Sheet1!$B$2:$B$3</c:f>
              <c:numCache>
                <c:formatCode>General</c:formatCode>
                <c:ptCount val="2"/>
                <c:pt idx="0">
                  <c:v>5</c:v>
                </c:pt>
                <c:pt idx="1">
                  <c:v>3</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合同类纠纷</c:v>
                </c:pt>
              </c:strCache>
            </c:strRef>
          </c:tx>
          <c:dLbls>
            <c:dLbl>
              <c:idx val="0"/>
              <c:tx>
                <c:rich>
                  <a:bodyPr/>
                  <a:lstStyle/>
                  <a:p>
                    <a:r>
                      <a:rPr lang="en-US" altLang="en-US"/>
                      <a:t>1</a:t>
                    </a:r>
                    <a:r>
                      <a:rPr lang="zh-CN" altLang="en-US"/>
                      <a:t>件</a:t>
                    </a:r>
                    <a:endParaRPr lang="en-US" altLang="en-US"/>
                  </a:p>
                </c:rich>
              </c:tx>
              <c:showVal val="1"/>
            </c:dLbl>
            <c:dLbl>
              <c:idx val="1"/>
              <c:tx>
                <c:rich>
                  <a:bodyPr/>
                  <a:lstStyle/>
                  <a:p>
                    <a:r>
                      <a:rPr lang="en-US" altLang="en-US"/>
                      <a:t>1</a:t>
                    </a:r>
                    <a:r>
                      <a:rPr lang="zh-CN" altLang="en-US"/>
                      <a:t>件</a:t>
                    </a:r>
                    <a:endParaRPr lang="en-US" altLang="en-US"/>
                  </a:p>
                </c:rich>
              </c:tx>
              <c:showVal val="1"/>
            </c:dLbl>
            <c:dLbl>
              <c:idx val="2"/>
              <c:tx>
                <c:rich>
                  <a:bodyPr/>
                  <a:lstStyle/>
                  <a:p>
                    <a:r>
                      <a:rPr lang="en-US" altLang="en-US"/>
                      <a:t>3</a:t>
                    </a:r>
                    <a:r>
                      <a:rPr lang="zh-CN" altLang="en-US"/>
                      <a:t>件</a:t>
                    </a:r>
                    <a:endParaRPr lang="en-US" altLang="en-US"/>
                  </a:p>
                </c:rich>
              </c:tx>
              <c:showVal val="1"/>
            </c:dLbl>
            <c:dLbl>
              <c:idx val="3"/>
              <c:tx>
                <c:rich>
                  <a:bodyPr/>
                  <a:lstStyle/>
                  <a:p>
                    <a:r>
                      <a:rPr lang="en-US" altLang="en-US"/>
                      <a:t>3</a:t>
                    </a:r>
                    <a:r>
                      <a:rPr lang="zh-CN" altLang="en-US"/>
                      <a:t>件</a:t>
                    </a:r>
                    <a:endParaRPr lang="en-US" altLang="en-US"/>
                  </a:p>
                </c:rich>
              </c:tx>
              <c:showVal val="1"/>
            </c:dLbl>
            <c:dLbl>
              <c:idx val="4"/>
              <c:tx>
                <c:rich>
                  <a:bodyPr/>
                  <a:lstStyle/>
                  <a:p>
                    <a:r>
                      <a:rPr lang="en-US" altLang="en-US"/>
                      <a:t>3</a:t>
                    </a:r>
                    <a:r>
                      <a:rPr lang="zh-CN" altLang="en-US"/>
                      <a:t>件</a:t>
                    </a:r>
                    <a:endParaRPr lang="en-US" altLang="en-US"/>
                  </a:p>
                </c:rich>
              </c:tx>
              <c:showVal val="1"/>
            </c:dLbl>
            <c:dLbl>
              <c:idx val="5"/>
              <c:tx>
                <c:rich>
                  <a:bodyPr/>
                  <a:lstStyle/>
                  <a:p>
                    <a:r>
                      <a:rPr lang="en-US" altLang="en-US"/>
                      <a:t>1</a:t>
                    </a:r>
                    <a:r>
                      <a:rPr lang="zh-CN" altLang="en-US"/>
                      <a:t>件</a:t>
                    </a:r>
                    <a:endParaRPr lang="en-US" altLang="en-US"/>
                  </a:p>
                </c:rich>
              </c:tx>
              <c:showVal val="1"/>
            </c:dLbl>
            <c:dLbl>
              <c:idx val="6"/>
              <c:tx>
                <c:rich>
                  <a:bodyPr/>
                  <a:lstStyle/>
                  <a:p>
                    <a:r>
                      <a:rPr lang="en-US" altLang="en-US"/>
                      <a:t>3</a:t>
                    </a:r>
                    <a:r>
                      <a:rPr lang="zh-CN" altLang="en-US"/>
                      <a:t>件</a:t>
                    </a:r>
                    <a:endParaRPr lang="en-US" altLang="en-US"/>
                  </a:p>
                </c:rich>
              </c:tx>
              <c:showVal val="1"/>
            </c:dLbl>
            <c:dLbl>
              <c:idx val="7"/>
              <c:tx>
                <c:rich>
                  <a:bodyPr/>
                  <a:lstStyle/>
                  <a:p>
                    <a:r>
                      <a:rPr lang="en-US" altLang="en-US"/>
                      <a:t>1</a:t>
                    </a:r>
                    <a:r>
                      <a:rPr lang="zh-CN" altLang="en-US"/>
                      <a:t>件</a:t>
                    </a:r>
                    <a:endParaRPr lang="en-US" altLang="en-US"/>
                  </a:p>
                </c:rich>
              </c:tx>
              <c:showVal val="1"/>
            </c:dLbl>
            <c:showVal val="1"/>
            <c:showLeaderLines val="1"/>
          </c:dLbls>
          <c:cat>
            <c:strRef>
              <c:f>Sheet1!$A$2:$A$9</c:f>
              <c:strCache>
                <c:ptCount val="8"/>
                <c:pt idx="0">
                  <c:v>借用合同</c:v>
                </c:pt>
                <c:pt idx="1">
                  <c:v>建设合同纠纷</c:v>
                </c:pt>
                <c:pt idx="2">
                  <c:v>买卖合同纠纷</c:v>
                </c:pt>
                <c:pt idx="3">
                  <c:v>林业承包合同</c:v>
                </c:pt>
                <c:pt idx="4">
                  <c:v>租赁合同纠纷</c:v>
                </c:pt>
                <c:pt idx="5">
                  <c:v>债务转移纠纷</c:v>
                </c:pt>
                <c:pt idx="6">
                  <c:v>供用热力纠纷</c:v>
                </c:pt>
                <c:pt idx="7">
                  <c:v>不当得利纠纷</c:v>
                </c:pt>
              </c:strCache>
            </c:strRef>
          </c:cat>
          <c:val>
            <c:numRef>
              <c:f>Sheet1!$B$2:$B$9</c:f>
              <c:numCache>
                <c:formatCode>General</c:formatCode>
                <c:ptCount val="8"/>
                <c:pt idx="0">
                  <c:v>1</c:v>
                </c:pt>
                <c:pt idx="1">
                  <c:v>1</c:v>
                </c:pt>
                <c:pt idx="2">
                  <c:v>3</c:v>
                </c:pt>
                <c:pt idx="3">
                  <c:v>3</c:v>
                </c:pt>
                <c:pt idx="4">
                  <c:v>3</c:v>
                </c:pt>
                <c:pt idx="5">
                  <c:v>1</c:v>
                </c:pt>
                <c:pt idx="6">
                  <c:v>3</c:v>
                </c:pt>
                <c:pt idx="7">
                  <c:v>1</c:v>
                </c:pt>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manualLayout>
          <c:layoutTarget val="inner"/>
          <c:xMode val="edge"/>
          <c:yMode val="edge"/>
          <c:x val="5.7587285756797914E-4"/>
          <c:y val="0.2331887814765729"/>
          <c:w val="0.71140554570617387"/>
          <c:h val="0.66728580338349286"/>
        </c:manualLayout>
      </c:layout>
      <c:pie3DChart>
        <c:varyColors val="1"/>
        <c:ser>
          <c:idx val="0"/>
          <c:order val="0"/>
          <c:tx>
            <c:strRef>
              <c:f>Sheet1!$B$1</c:f>
              <c:strCache>
                <c:ptCount val="1"/>
                <c:pt idx="0">
                  <c:v>侵权责任纠纷</c:v>
                </c:pt>
              </c:strCache>
            </c:strRef>
          </c:tx>
          <c:explosion val="25"/>
          <c:dLbls>
            <c:dLbl>
              <c:idx val="0"/>
              <c:tx>
                <c:rich>
                  <a:bodyPr/>
                  <a:lstStyle/>
                  <a:p>
                    <a:r>
                      <a:rPr lang="en-US" altLang="en-US"/>
                      <a:t>6</a:t>
                    </a:r>
                    <a:r>
                      <a:rPr lang="zh-CN" altLang="en-US"/>
                      <a:t>件</a:t>
                    </a:r>
                    <a:endParaRPr lang="en-US" altLang="en-US"/>
                  </a:p>
                </c:rich>
              </c:tx>
              <c:showVal val="1"/>
            </c:dLbl>
            <c:dLbl>
              <c:idx val="1"/>
              <c:tx>
                <c:rich>
                  <a:bodyPr/>
                  <a:lstStyle/>
                  <a:p>
                    <a:r>
                      <a:rPr lang="en-US" altLang="en-US"/>
                      <a:t>3</a:t>
                    </a:r>
                    <a:r>
                      <a:rPr lang="zh-CN" altLang="en-US"/>
                      <a:t>件</a:t>
                    </a:r>
                    <a:endParaRPr lang="en-US" altLang="en-US"/>
                  </a:p>
                </c:rich>
              </c:tx>
              <c:showVal val="1"/>
            </c:dLbl>
            <c:dLbl>
              <c:idx val="2"/>
              <c:tx>
                <c:rich>
                  <a:bodyPr/>
                  <a:lstStyle/>
                  <a:p>
                    <a:r>
                      <a:rPr lang="en-US" altLang="en-US"/>
                      <a:t>2</a:t>
                    </a:r>
                    <a:r>
                      <a:rPr lang="zh-CN" altLang="en-US"/>
                      <a:t>件</a:t>
                    </a:r>
                    <a:endParaRPr lang="en-US" altLang="en-US"/>
                  </a:p>
                </c:rich>
              </c:tx>
              <c:showVal val="1"/>
            </c:dLbl>
            <c:showVal val="1"/>
            <c:showLeaderLines val="1"/>
          </c:dLbls>
          <c:cat>
            <c:strRef>
              <c:f>Sheet1!$A$2:$A$4</c:f>
              <c:strCache>
                <c:ptCount val="3"/>
                <c:pt idx="0">
                  <c:v>一般侵权责任纠纷</c:v>
                </c:pt>
                <c:pt idx="1">
                  <c:v>医疗损害责任纠纷</c:v>
                </c:pt>
                <c:pt idx="2">
                  <c:v>物件损害责任纠纷</c:v>
                </c:pt>
              </c:strCache>
            </c:strRef>
          </c:cat>
          <c:val>
            <c:numRef>
              <c:f>Sheet1!$B$2:$B$4</c:f>
              <c:numCache>
                <c:formatCode>General</c:formatCode>
                <c:ptCount val="3"/>
                <c:pt idx="0">
                  <c:v>6</c:v>
                </c:pt>
                <c:pt idx="1">
                  <c:v>3</c:v>
                </c:pt>
                <c:pt idx="2">
                  <c:v>2</c:v>
                </c:pt>
              </c:numCache>
            </c:numRef>
          </c:val>
        </c:ser>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涉企各类劳动争议纠纷案件</a:t>
            </a:r>
          </a:p>
        </c:rich>
      </c:tx>
    </c:title>
    <c:plotArea>
      <c:layout/>
      <c:pieChart>
        <c:varyColors val="1"/>
        <c:ser>
          <c:idx val="0"/>
          <c:order val="0"/>
          <c:tx>
            <c:strRef>
              <c:f>Sheet1!$B$1</c:f>
              <c:strCache>
                <c:ptCount val="1"/>
                <c:pt idx="0">
                  <c:v>涉及各类劳动争议纠纷案件</c:v>
                </c:pt>
              </c:strCache>
            </c:strRef>
          </c:tx>
          <c:cat>
            <c:strRef>
              <c:f>Sheet1!$A$2:$A$4</c:f>
              <c:strCache>
                <c:ptCount val="3"/>
                <c:pt idx="0">
                  <c:v>二级案由</c:v>
                </c:pt>
                <c:pt idx="1">
                  <c:v>三级案由</c:v>
                </c:pt>
                <c:pt idx="2">
                  <c:v>四级案由</c:v>
                </c:pt>
              </c:strCache>
            </c:strRef>
          </c:cat>
          <c:val>
            <c:numRef>
              <c:f>Sheet1!$B$2:$B$5</c:f>
              <c:numCache>
                <c:formatCode>General</c:formatCode>
                <c:ptCount val="4"/>
                <c:pt idx="0">
                  <c:v>1</c:v>
                </c:pt>
                <c:pt idx="1">
                  <c:v>5</c:v>
                </c:pt>
                <c:pt idx="2">
                  <c:v>6</c:v>
                </c:pt>
              </c:numCache>
            </c:numRef>
          </c:val>
        </c:ser>
        <c:firstSliceAng val="0"/>
      </c:pieChart>
    </c:plotArea>
    <c:legend>
      <c:legendPos val="r"/>
      <c:legendEntry>
        <c:idx val="3"/>
        <c:delete val="1"/>
      </c:legendEntry>
    </c:legend>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30"/>
      <c:perspective val="30"/>
    </c:view3D>
    <c:plotArea>
      <c:layout/>
      <c:pie3DChart>
        <c:varyColors val="1"/>
        <c:ser>
          <c:idx val="0"/>
          <c:order val="0"/>
          <c:tx>
            <c:strRef>
              <c:f>Sheet1!$B$1</c:f>
              <c:strCache>
                <c:ptCount val="1"/>
                <c:pt idx="0">
                  <c:v>列1</c:v>
                </c:pt>
              </c:strCache>
            </c:strRef>
          </c:tx>
          <c:cat>
            <c:strRef>
              <c:f>Sheet1!$A$2:$A$7</c:f>
              <c:strCache>
                <c:ptCount val="6"/>
                <c:pt idx="0">
                  <c:v>社会保险纠纷</c:v>
                </c:pt>
                <c:pt idx="1">
                  <c:v>劳动合同纠纷</c:v>
                </c:pt>
                <c:pt idx="2">
                  <c:v>工伤保险待遇纠纷</c:v>
                </c:pt>
                <c:pt idx="3">
                  <c:v>追索劳动报酬纠纷</c:v>
                </c:pt>
                <c:pt idx="4">
                  <c:v>确认劳动关系纠纷</c:v>
                </c:pt>
                <c:pt idx="5">
                  <c:v>劳动争议纠纷</c:v>
                </c:pt>
              </c:strCache>
            </c:strRef>
          </c:cat>
          <c:val>
            <c:numRef>
              <c:f>Sheet1!$B$2:$B$7</c:f>
              <c:numCache>
                <c:formatCode>General</c:formatCode>
                <c:ptCount val="6"/>
                <c:pt idx="0">
                  <c:v>1</c:v>
                </c:pt>
                <c:pt idx="1">
                  <c:v>4</c:v>
                </c:pt>
                <c:pt idx="2">
                  <c:v>2</c:v>
                </c:pt>
                <c:pt idx="3">
                  <c:v>1</c:v>
                </c:pt>
                <c:pt idx="4">
                  <c:v>3</c:v>
                </c:pt>
                <c:pt idx="5">
                  <c:v>1</c:v>
                </c:pt>
              </c:numCache>
            </c:numRef>
          </c:val>
        </c:ser>
      </c:pie3DChart>
    </c:plotArea>
    <c:legend>
      <c:legendPos val="r"/>
    </c:legend>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2012-2016年，江源林区基层法院共受理涉林企业合同类纠纷案件</c:v>
                </c:pt>
              </c:strCache>
            </c:strRef>
          </c:tx>
          <c:cat>
            <c:strRef>
              <c:f>Sheet1!$A$2:$A$5</c:f>
              <c:strCache>
                <c:ptCount val="2"/>
                <c:pt idx="0">
                  <c:v>涉林企业作为原告参加合同类纠纷诉讼案件</c:v>
                </c:pt>
                <c:pt idx="1">
                  <c:v>涉林企业作为被告参加合同类纠纷诉讼案件</c:v>
                </c:pt>
              </c:strCache>
            </c:strRef>
          </c:cat>
          <c:val>
            <c:numRef>
              <c:f>Sheet1!$B$2:$B$5</c:f>
              <c:numCache>
                <c:formatCode>General</c:formatCode>
                <c:ptCount val="4"/>
                <c:pt idx="0">
                  <c:v>10</c:v>
                </c:pt>
                <c:pt idx="1">
                  <c:v>10</c:v>
                </c:pt>
              </c:numCache>
            </c:numRef>
          </c:val>
        </c:ser>
        <c:firstSliceAng val="0"/>
      </c:pieChart>
    </c:plotArea>
    <c:legend>
      <c:legendPos val="r"/>
      <c:legendEntry>
        <c:idx val="2"/>
        <c:delete val="1"/>
      </c:legendEntry>
      <c:legendEntry>
        <c:idx val="3"/>
        <c:delete val="1"/>
      </c:legendEntry>
    </c:legend>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stacked"/>
        <c:ser>
          <c:idx val="0"/>
          <c:order val="0"/>
          <c:tx>
            <c:strRef>
              <c:f>Sheet1!$B$1</c:f>
              <c:strCache>
                <c:ptCount val="1"/>
                <c:pt idx="0">
                  <c:v>系列 1</c:v>
                </c:pt>
              </c:strCache>
            </c:strRef>
          </c:tx>
          <c:cat>
            <c:strRef>
              <c:f>Sheet1!$A$2:$A$5</c:f>
              <c:strCache>
                <c:ptCount val="4"/>
                <c:pt idx="0">
                  <c:v>受理涉林承包合同纠纷案件</c:v>
                </c:pt>
                <c:pt idx="1">
                  <c:v>受理买卖合同纠纷案件</c:v>
                </c:pt>
                <c:pt idx="2">
                  <c:v>租赁合同纠纷案件</c:v>
                </c:pt>
                <c:pt idx="3">
                  <c:v>受理供用热力合同纠纷案件</c:v>
                </c:pt>
              </c:strCache>
            </c:strRef>
          </c:cat>
          <c:val>
            <c:numRef>
              <c:f>Sheet1!$B$2:$B$5</c:f>
              <c:numCache>
                <c:formatCode>General</c:formatCode>
                <c:ptCount val="4"/>
                <c:pt idx="0">
                  <c:v>6</c:v>
                </c:pt>
                <c:pt idx="1">
                  <c:v>4</c:v>
                </c:pt>
                <c:pt idx="2">
                  <c:v>4</c:v>
                </c:pt>
                <c:pt idx="3">
                  <c:v>3</c:v>
                </c:pt>
              </c:numCache>
            </c:numRef>
          </c:val>
        </c:ser>
        <c:ser>
          <c:idx val="1"/>
          <c:order val="1"/>
          <c:tx>
            <c:strRef>
              <c:f>Sheet1!$C$1</c:f>
              <c:strCache>
                <c:ptCount val="1"/>
                <c:pt idx="0">
                  <c:v>列1</c:v>
                </c:pt>
              </c:strCache>
            </c:strRef>
          </c:tx>
          <c:cat>
            <c:strRef>
              <c:f>Sheet1!$A$2:$A$5</c:f>
              <c:strCache>
                <c:ptCount val="4"/>
                <c:pt idx="0">
                  <c:v>受理涉林承包合同纠纷案件</c:v>
                </c:pt>
                <c:pt idx="1">
                  <c:v>受理买卖合同纠纷案件</c:v>
                </c:pt>
                <c:pt idx="2">
                  <c:v>租赁合同纠纷案件</c:v>
                </c:pt>
                <c:pt idx="3">
                  <c:v>受理供用热力合同纠纷案件</c:v>
                </c:pt>
              </c:strCache>
            </c:strRef>
          </c:cat>
          <c:val>
            <c:numRef>
              <c:f>Sheet1!$C$2:$C$5</c:f>
              <c:numCache>
                <c:formatCode>General</c:formatCode>
                <c:ptCount val="4"/>
              </c:numCache>
            </c:numRef>
          </c:val>
        </c:ser>
        <c:ser>
          <c:idx val="2"/>
          <c:order val="2"/>
          <c:tx>
            <c:strRef>
              <c:f>Sheet1!$D$1</c:f>
              <c:strCache>
                <c:ptCount val="1"/>
                <c:pt idx="0">
                  <c:v>列2</c:v>
                </c:pt>
              </c:strCache>
            </c:strRef>
          </c:tx>
          <c:cat>
            <c:strRef>
              <c:f>Sheet1!$A$2:$A$5</c:f>
              <c:strCache>
                <c:ptCount val="4"/>
                <c:pt idx="0">
                  <c:v>受理涉林承包合同纠纷案件</c:v>
                </c:pt>
                <c:pt idx="1">
                  <c:v>受理买卖合同纠纷案件</c:v>
                </c:pt>
                <c:pt idx="2">
                  <c:v>租赁合同纠纷案件</c:v>
                </c:pt>
                <c:pt idx="3">
                  <c:v>受理供用热力合同纠纷案件</c:v>
                </c:pt>
              </c:strCache>
            </c:strRef>
          </c:cat>
          <c:val>
            <c:numRef>
              <c:f>Sheet1!$D$2:$D$5</c:f>
              <c:numCache>
                <c:formatCode>General</c:formatCode>
                <c:ptCount val="4"/>
              </c:numCache>
            </c:numRef>
          </c:val>
        </c:ser>
        <c:overlap val="100"/>
        <c:axId val="129654784"/>
        <c:axId val="129656320"/>
      </c:barChart>
      <c:catAx>
        <c:axId val="129654784"/>
        <c:scaling>
          <c:orientation val="minMax"/>
        </c:scaling>
        <c:axPos val="b"/>
        <c:tickLblPos val="nextTo"/>
        <c:crossAx val="129656320"/>
        <c:crosses val="autoZero"/>
        <c:auto val="1"/>
        <c:lblAlgn val="ctr"/>
        <c:lblOffset val="100"/>
      </c:catAx>
      <c:valAx>
        <c:axId val="129656320"/>
        <c:scaling>
          <c:orientation val="minMax"/>
        </c:scaling>
        <c:axPos val="l"/>
        <c:majorGridlines/>
        <c:numFmt formatCode="General" sourceLinked="1"/>
        <c:tickLblPos val="nextTo"/>
        <c:crossAx val="129654784"/>
        <c:crosses val="autoZero"/>
        <c:crossBetween val="between"/>
      </c:valAx>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0.41825</cdr:x>
      <cdr:y>0.25263</cdr:y>
    </cdr:from>
    <cdr:to>
      <cdr:x>0.50783</cdr:x>
      <cdr:y>0.38885</cdr:y>
    </cdr:to>
    <cdr:sp macro="" textlink="">
      <cdr:nvSpPr>
        <cdr:cNvPr id="2" name="TextBox 1"/>
        <cdr:cNvSpPr txBox="1"/>
      </cdr:nvSpPr>
      <cdr:spPr>
        <a:xfrm xmlns:a="http://schemas.openxmlformats.org/drawingml/2006/main">
          <a:off x="2205990" y="777240"/>
          <a:ext cx="472440" cy="4191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400">
              <a:solidFill>
                <a:schemeClr val="bg1"/>
              </a:solidFill>
            </a:rPr>
            <a:t>1</a:t>
          </a:r>
          <a:r>
            <a:rPr lang="zh-CN" altLang="en-US" sz="1400">
              <a:solidFill>
                <a:schemeClr val="bg1"/>
              </a:solidFill>
            </a:rPr>
            <a:t>件</a:t>
          </a:r>
        </a:p>
      </cdr:txBody>
    </cdr:sp>
  </cdr:relSizeAnchor>
  <cdr:relSizeAnchor xmlns:cdr="http://schemas.openxmlformats.org/drawingml/2006/chartDrawing">
    <cdr:from>
      <cdr:x>0.49049</cdr:x>
      <cdr:y>0.53746</cdr:y>
    </cdr:from>
    <cdr:to>
      <cdr:x>0.60101</cdr:x>
      <cdr:y>0.71331</cdr:y>
    </cdr:to>
    <cdr:sp macro="" textlink="">
      <cdr:nvSpPr>
        <cdr:cNvPr id="4" name="TextBox 3"/>
        <cdr:cNvSpPr txBox="1"/>
      </cdr:nvSpPr>
      <cdr:spPr>
        <a:xfrm xmlns:a="http://schemas.openxmlformats.org/drawingml/2006/main">
          <a:off x="2586990" y="1653540"/>
          <a:ext cx="582930" cy="54102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800">
              <a:solidFill>
                <a:schemeClr val="bg1"/>
              </a:solidFill>
            </a:rPr>
            <a:t>5</a:t>
          </a:r>
          <a:r>
            <a:rPr lang="zh-CN" altLang="en-US" sz="1800">
              <a:solidFill>
                <a:schemeClr val="bg1"/>
              </a:solidFill>
            </a:rPr>
            <a:t>件</a:t>
          </a:r>
        </a:p>
      </cdr:txBody>
    </cdr:sp>
  </cdr:relSizeAnchor>
  <cdr:relSizeAnchor xmlns:cdr="http://schemas.openxmlformats.org/drawingml/2006/chartDrawing">
    <cdr:from>
      <cdr:x>0.27378</cdr:x>
      <cdr:y>0.48793</cdr:y>
    </cdr:from>
    <cdr:to>
      <cdr:x>0.40958</cdr:x>
      <cdr:y>0.71084</cdr:y>
    </cdr:to>
    <cdr:sp macro="" textlink="">
      <cdr:nvSpPr>
        <cdr:cNvPr id="5" name="TextBox 4"/>
        <cdr:cNvSpPr txBox="1"/>
      </cdr:nvSpPr>
      <cdr:spPr>
        <a:xfrm xmlns:a="http://schemas.openxmlformats.org/drawingml/2006/main">
          <a:off x="1443990" y="1501140"/>
          <a:ext cx="716280" cy="685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800">
              <a:solidFill>
                <a:schemeClr val="bg1"/>
              </a:solidFill>
            </a:rPr>
            <a:t>6</a:t>
          </a:r>
          <a:r>
            <a:rPr lang="zh-CN" altLang="en-US" sz="1800">
              <a:solidFill>
                <a:schemeClr val="bg1"/>
              </a:solidFill>
            </a:rPr>
            <a:t>件</a:t>
          </a:r>
        </a:p>
      </cdr:txBody>
    </cdr:sp>
  </cdr:relSizeAnchor>
</c:userShapes>
</file>

<file path=word/drawings/drawing2.xml><?xml version="1.0" encoding="utf-8"?>
<c:userShapes xmlns:c="http://schemas.openxmlformats.org/drawingml/2006/chart">
  <cdr:relSizeAnchor xmlns:cdr="http://schemas.openxmlformats.org/drawingml/2006/chartDrawing">
    <cdr:from>
      <cdr:x>0.40236</cdr:x>
      <cdr:y>0.17337</cdr:y>
    </cdr:from>
    <cdr:to>
      <cdr:x>0.48327</cdr:x>
      <cdr:y>0.26749</cdr:y>
    </cdr:to>
    <cdr:sp macro="" textlink="">
      <cdr:nvSpPr>
        <cdr:cNvPr id="2" name="TextBox 1"/>
        <cdr:cNvSpPr txBox="1"/>
      </cdr:nvSpPr>
      <cdr:spPr>
        <a:xfrm xmlns:a="http://schemas.openxmlformats.org/drawingml/2006/main">
          <a:off x="2122170" y="533400"/>
          <a:ext cx="426720" cy="2895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200">
              <a:solidFill>
                <a:schemeClr val="bg1"/>
              </a:solidFill>
            </a:rPr>
            <a:t>1</a:t>
          </a:r>
          <a:r>
            <a:rPr lang="zh-CN" altLang="en-US" sz="1200">
              <a:solidFill>
                <a:schemeClr val="bg1"/>
              </a:solidFill>
            </a:rPr>
            <a:t>件</a:t>
          </a:r>
        </a:p>
      </cdr:txBody>
    </cdr:sp>
  </cdr:relSizeAnchor>
  <cdr:relSizeAnchor xmlns:cdr="http://schemas.openxmlformats.org/drawingml/2006/chartDrawing">
    <cdr:from>
      <cdr:x>0.51794</cdr:x>
      <cdr:y>0.26749</cdr:y>
    </cdr:from>
    <cdr:to>
      <cdr:x>0.69998</cdr:x>
      <cdr:y>0.53003</cdr:y>
    </cdr:to>
    <cdr:sp macro="" textlink="">
      <cdr:nvSpPr>
        <cdr:cNvPr id="3" name="TextBox 2"/>
        <cdr:cNvSpPr txBox="1"/>
      </cdr:nvSpPr>
      <cdr:spPr>
        <a:xfrm xmlns:a="http://schemas.openxmlformats.org/drawingml/2006/main">
          <a:off x="2731770" y="822960"/>
          <a:ext cx="960120" cy="80772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200">
              <a:solidFill>
                <a:schemeClr val="bg1"/>
              </a:solidFill>
            </a:rPr>
            <a:t>4</a:t>
          </a:r>
          <a:r>
            <a:rPr lang="zh-CN" altLang="en-US" sz="1200">
              <a:solidFill>
                <a:schemeClr val="bg1"/>
              </a:solidFill>
            </a:rPr>
            <a:t>件</a:t>
          </a:r>
        </a:p>
      </cdr:txBody>
    </cdr:sp>
  </cdr:relSizeAnchor>
  <cdr:relSizeAnchor xmlns:cdr="http://schemas.openxmlformats.org/drawingml/2006/chartDrawing">
    <cdr:from>
      <cdr:x>0.32723</cdr:x>
      <cdr:y>0.53251</cdr:y>
    </cdr:from>
    <cdr:to>
      <cdr:x>0.49771</cdr:x>
      <cdr:y>0.72074</cdr:y>
    </cdr:to>
    <cdr:sp macro="" textlink="">
      <cdr:nvSpPr>
        <cdr:cNvPr id="4" name="TextBox 3"/>
        <cdr:cNvSpPr txBox="1"/>
      </cdr:nvSpPr>
      <cdr:spPr>
        <a:xfrm xmlns:a="http://schemas.openxmlformats.org/drawingml/2006/main">
          <a:off x="1725930" y="1638300"/>
          <a:ext cx="899160" cy="57912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200">
              <a:solidFill>
                <a:schemeClr val="bg1"/>
              </a:solidFill>
            </a:rPr>
            <a:t>2</a:t>
          </a:r>
          <a:r>
            <a:rPr lang="zh-CN" altLang="en-US" sz="1200">
              <a:solidFill>
                <a:schemeClr val="bg1"/>
              </a:solidFill>
            </a:rPr>
            <a:t>件</a:t>
          </a:r>
        </a:p>
      </cdr:txBody>
    </cdr:sp>
  </cdr:relSizeAnchor>
  <cdr:relSizeAnchor xmlns:cdr="http://schemas.openxmlformats.org/drawingml/2006/chartDrawing">
    <cdr:from>
      <cdr:x>0.15675</cdr:x>
      <cdr:y>0.49783</cdr:y>
    </cdr:from>
    <cdr:to>
      <cdr:x>0.23333</cdr:x>
      <cdr:y>0.57709</cdr:y>
    </cdr:to>
    <cdr:sp macro="" textlink="">
      <cdr:nvSpPr>
        <cdr:cNvPr id="5" name="TextBox 4"/>
        <cdr:cNvSpPr txBox="1"/>
      </cdr:nvSpPr>
      <cdr:spPr>
        <a:xfrm xmlns:a="http://schemas.openxmlformats.org/drawingml/2006/main">
          <a:off x="826770" y="1531620"/>
          <a:ext cx="403860" cy="2438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200">
              <a:solidFill>
                <a:schemeClr val="bg1"/>
              </a:solidFill>
            </a:rPr>
            <a:t>1</a:t>
          </a:r>
          <a:r>
            <a:rPr lang="zh-CN" altLang="en-US" sz="1200">
              <a:solidFill>
                <a:schemeClr val="bg1"/>
              </a:solidFill>
            </a:rPr>
            <a:t>件</a:t>
          </a:r>
        </a:p>
      </cdr:txBody>
    </cdr:sp>
  </cdr:relSizeAnchor>
  <cdr:relSizeAnchor xmlns:cdr="http://schemas.openxmlformats.org/drawingml/2006/chartDrawing">
    <cdr:from>
      <cdr:x>0.1293</cdr:x>
      <cdr:y>0.29474</cdr:y>
    </cdr:from>
    <cdr:to>
      <cdr:x>0.29978</cdr:x>
      <cdr:y>0.42353</cdr:y>
    </cdr:to>
    <cdr:sp macro="" textlink="">
      <cdr:nvSpPr>
        <cdr:cNvPr id="6" name="TextBox 5"/>
        <cdr:cNvSpPr txBox="1"/>
      </cdr:nvSpPr>
      <cdr:spPr>
        <a:xfrm xmlns:a="http://schemas.openxmlformats.org/drawingml/2006/main">
          <a:off x="681990" y="906780"/>
          <a:ext cx="899160" cy="3962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200">
              <a:solidFill>
                <a:schemeClr val="bg1"/>
              </a:solidFill>
            </a:rPr>
            <a:t>3</a:t>
          </a:r>
          <a:r>
            <a:rPr lang="zh-CN" altLang="en-US" sz="1200">
              <a:solidFill>
                <a:schemeClr val="bg1"/>
              </a:solidFill>
            </a:rPr>
            <a:t>件</a:t>
          </a:r>
        </a:p>
      </cdr:txBody>
    </cdr:sp>
  </cdr:relSizeAnchor>
  <cdr:relSizeAnchor xmlns:cdr="http://schemas.openxmlformats.org/drawingml/2006/chartDrawing">
    <cdr:from>
      <cdr:x>0.30267</cdr:x>
      <cdr:y>0.15604</cdr:y>
    </cdr:from>
    <cdr:to>
      <cdr:x>0.37924</cdr:x>
      <cdr:y>0.3096</cdr:y>
    </cdr:to>
    <cdr:sp macro="" textlink="">
      <cdr:nvSpPr>
        <cdr:cNvPr id="7" name="TextBox 6"/>
        <cdr:cNvSpPr txBox="1"/>
      </cdr:nvSpPr>
      <cdr:spPr>
        <a:xfrm xmlns:a="http://schemas.openxmlformats.org/drawingml/2006/main">
          <a:off x="1596390" y="480060"/>
          <a:ext cx="403860" cy="4724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200">
              <a:solidFill>
                <a:schemeClr val="bg1"/>
              </a:solidFill>
            </a:rPr>
            <a:t>1</a:t>
          </a:r>
          <a:r>
            <a:rPr lang="zh-CN" altLang="en-US" sz="1200">
              <a:solidFill>
                <a:schemeClr val="bg1"/>
              </a:solidFill>
            </a:rPr>
            <a:t>件</a:t>
          </a:r>
        </a:p>
      </cdr:txBody>
    </cdr:sp>
  </cdr:relSizeAnchor>
</c:userShapes>
</file>

<file path=word/drawings/drawing3.xml><?xml version="1.0" encoding="utf-8"?>
<c:userShapes xmlns:c="http://schemas.openxmlformats.org/drawingml/2006/chart">
  <cdr:relSizeAnchor xmlns:cdr="http://schemas.openxmlformats.org/drawingml/2006/chartDrawing">
    <cdr:from>
      <cdr:x>0.17698</cdr:x>
      <cdr:y>0.54489</cdr:y>
    </cdr:from>
    <cdr:to>
      <cdr:x>0.31134</cdr:x>
      <cdr:y>0.67616</cdr:y>
    </cdr:to>
    <cdr:sp macro="" textlink="">
      <cdr:nvSpPr>
        <cdr:cNvPr id="2" name="TextBox 1"/>
        <cdr:cNvSpPr txBox="1"/>
      </cdr:nvSpPr>
      <cdr:spPr>
        <a:xfrm xmlns:a="http://schemas.openxmlformats.org/drawingml/2006/main">
          <a:off x="933450" y="1676400"/>
          <a:ext cx="708660" cy="4038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altLang="zh-CN" sz="1800">
              <a:solidFill>
                <a:schemeClr val="bg1"/>
              </a:solidFill>
            </a:rPr>
            <a:t>10</a:t>
          </a:r>
          <a:r>
            <a:rPr lang="zh-CN" altLang="en-US" sz="1800">
              <a:solidFill>
                <a:schemeClr val="bg1"/>
              </a:solidFill>
            </a:rPr>
            <a:t>件</a:t>
          </a:r>
        </a:p>
      </cdr:txBody>
    </cdr:sp>
  </cdr:relSizeAnchor>
  <cdr:relSizeAnchor xmlns:cdr="http://schemas.openxmlformats.org/drawingml/2006/chartDrawing">
    <cdr:from>
      <cdr:x>0.35324</cdr:x>
      <cdr:y>0.53498</cdr:y>
    </cdr:from>
    <cdr:to>
      <cdr:x>0.52372</cdr:x>
      <cdr:y>0.67864</cdr:y>
    </cdr:to>
    <cdr:sp macro="" textlink="">
      <cdr:nvSpPr>
        <cdr:cNvPr id="3" name="TextBox 2"/>
        <cdr:cNvSpPr txBox="1"/>
      </cdr:nvSpPr>
      <cdr:spPr>
        <a:xfrm xmlns:a="http://schemas.openxmlformats.org/drawingml/2006/main">
          <a:off x="1863090" y="1645920"/>
          <a:ext cx="899160" cy="4419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800">
              <a:solidFill>
                <a:schemeClr val="bg1"/>
              </a:solidFill>
            </a:rPr>
            <a:t>10</a:t>
          </a:r>
          <a:r>
            <a:rPr lang="zh-CN" altLang="en-US" sz="1800">
              <a:solidFill>
                <a:schemeClr val="bg1"/>
              </a:solidFill>
            </a:rPr>
            <a:t>件</a:t>
          </a:r>
        </a:p>
      </cdr:txBody>
    </cdr:sp>
  </cdr:relSizeAnchor>
</c:userShapes>
</file>

<file path=word/drawings/drawing4.xml><?xml version="1.0" encoding="utf-8"?>
<c:userShapes xmlns:c="http://schemas.openxmlformats.org/drawingml/2006/chart">
  <cdr:relSizeAnchor xmlns:cdr="http://schemas.openxmlformats.org/drawingml/2006/chartDrawing">
    <cdr:from>
      <cdr:x>0.45004</cdr:x>
      <cdr:y>0.41858</cdr:y>
    </cdr:from>
    <cdr:to>
      <cdr:x>0.54539</cdr:x>
      <cdr:y>0.56223</cdr:y>
    </cdr:to>
    <cdr:sp macro="" textlink="">
      <cdr:nvSpPr>
        <cdr:cNvPr id="2" name="TextBox 1"/>
        <cdr:cNvSpPr txBox="1"/>
      </cdr:nvSpPr>
      <cdr:spPr>
        <a:xfrm xmlns:a="http://schemas.openxmlformats.org/drawingml/2006/main">
          <a:off x="2373630" y="1287780"/>
          <a:ext cx="502920" cy="4419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800"/>
            <a:t>7</a:t>
          </a:r>
          <a:endParaRPr lang="zh-CN" altLang="en-US" sz="1800"/>
        </a:p>
      </cdr:txBody>
    </cdr:sp>
  </cdr:relSizeAnchor>
  <cdr:relSizeAnchor xmlns:cdr="http://schemas.openxmlformats.org/drawingml/2006/chartDrawing">
    <cdr:from>
      <cdr:x>0.27956</cdr:x>
      <cdr:y>0.79009</cdr:y>
    </cdr:from>
    <cdr:to>
      <cdr:x>0.3778</cdr:x>
      <cdr:y>0.88669</cdr:y>
    </cdr:to>
    <cdr:sp macro="" textlink="">
      <cdr:nvSpPr>
        <cdr:cNvPr id="3" name="TextBox 2"/>
        <cdr:cNvSpPr txBox="1"/>
      </cdr:nvSpPr>
      <cdr:spPr>
        <a:xfrm xmlns:a="http://schemas.openxmlformats.org/drawingml/2006/main">
          <a:off x="1474470" y="2430780"/>
          <a:ext cx="518160" cy="2971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0.27378</cdr:x>
      <cdr:y>0.8</cdr:y>
    </cdr:from>
    <cdr:to>
      <cdr:x>0.41681</cdr:x>
      <cdr:y>0.89659</cdr:y>
    </cdr:to>
    <cdr:sp macro="" textlink="">
      <cdr:nvSpPr>
        <cdr:cNvPr id="4" name="TextBox 3"/>
        <cdr:cNvSpPr txBox="1"/>
      </cdr:nvSpPr>
      <cdr:spPr>
        <a:xfrm xmlns:a="http://schemas.openxmlformats.org/drawingml/2006/main">
          <a:off x="1443990" y="2461260"/>
          <a:ext cx="754380" cy="2971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800"/>
            <a:t>5</a:t>
          </a:r>
          <a:endParaRPr lang="zh-CN" altLang="en-US" sz="1800"/>
        </a:p>
      </cdr:txBody>
    </cdr:sp>
  </cdr:relSizeAnchor>
  <cdr:relSizeAnchor xmlns:cdr="http://schemas.openxmlformats.org/drawingml/2006/chartDrawing">
    <cdr:from>
      <cdr:x>0.13508</cdr:x>
      <cdr:y>0.52755</cdr:y>
    </cdr:from>
    <cdr:to>
      <cdr:x>0.22177</cdr:x>
      <cdr:y>0.67616</cdr:y>
    </cdr:to>
    <cdr:sp macro="" textlink="">
      <cdr:nvSpPr>
        <cdr:cNvPr id="5" name="TextBox 4"/>
        <cdr:cNvSpPr txBox="1"/>
      </cdr:nvSpPr>
      <cdr:spPr>
        <a:xfrm xmlns:a="http://schemas.openxmlformats.org/drawingml/2006/main">
          <a:off x="712470" y="1623060"/>
          <a:ext cx="457200" cy="4572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800"/>
            <a:t>5</a:t>
          </a:r>
          <a:endParaRPr lang="zh-CN" altLang="en-US" sz="1800"/>
        </a:p>
      </cdr:txBody>
    </cdr:sp>
  </cdr:relSizeAnchor>
  <cdr:relSizeAnchor xmlns:cdr="http://schemas.openxmlformats.org/drawingml/2006/chartDrawing">
    <cdr:from>
      <cdr:x>0.24777</cdr:x>
      <cdr:y>0.25015</cdr:y>
    </cdr:from>
    <cdr:to>
      <cdr:x>0.33446</cdr:x>
      <cdr:y>0.32198</cdr:y>
    </cdr:to>
    <cdr:sp macro="" textlink="">
      <cdr:nvSpPr>
        <cdr:cNvPr id="6" name="TextBox 5"/>
        <cdr:cNvSpPr txBox="1"/>
      </cdr:nvSpPr>
      <cdr:spPr>
        <a:xfrm xmlns:a="http://schemas.openxmlformats.org/drawingml/2006/main">
          <a:off x="1306830" y="769620"/>
          <a:ext cx="457200" cy="2209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800"/>
            <a:t>2</a:t>
          </a:r>
          <a:endParaRPr lang="zh-CN" altLang="en-US" sz="18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1675</Words>
  <Characters>9548</Characters>
  <Application>Microsoft Office Word</Application>
  <DocSecurity>0</DocSecurity>
  <Lines>79</Lines>
  <Paragraphs>22</Paragraphs>
  <ScaleCrop>false</ScaleCrop>
  <Company>Sky123.Org</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2</cp:revision>
  <dcterms:created xsi:type="dcterms:W3CDTF">2017-08-25T05:47:00Z</dcterms:created>
  <dcterms:modified xsi:type="dcterms:W3CDTF">2017-08-25T05:47:00Z</dcterms:modified>
</cp:coreProperties>
</file>